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 w:val="0"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105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  </w:t>
      </w:r>
      <w:r>
        <w:rPr>
          <w:rFonts w:hint="eastAsia" w:ascii="Arial" w:hAnsi="Arial" w:cs="Arial"/>
          <w:b/>
          <w:sz w:val="24"/>
          <w:szCs w:val="24"/>
        </w:rPr>
        <w:t>R4-2219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207</w:t>
      </w:r>
    </w:p>
    <w:p>
      <w:pPr>
        <w:pStyle w:val="15"/>
        <w:keepNext w:val="0"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November 14 – November 18, 2022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0" w:name="OLE_LINK14"/>
      <w:bookmarkStart w:id="1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Further d</w:t>
      </w:r>
      <w:r>
        <w:rPr>
          <w:rStyle w:val="59"/>
          <w:rFonts w:hint="eastAsia"/>
          <w:b/>
          <w:highlight w:val="none"/>
          <w:lang w:val="pt-BR" w:eastAsia="zh-CN"/>
        </w:rPr>
        <w:t xml:space="preserve">iscussion on </w:t>
      </w:r>
      <w:r>
        <w:rPr>
          <w:rStyle w:val="59"/>
          <w:rFonts w:hint="eastAsia"/>
          <w:b/>
          <w:highlight w:val="none"/>
          <w:lang w:val="en-US" w:eastAsia="zh-CN"/>
        </w:rPr>
        <w:t>4Tx UE RF requirements</w:t>
      </w:r>
      <w:bookmarkEnd w:id="0"/>
      <w:bookmarkEnd w:id="1"/>
      <w:bookmarkStart w:id="38" w:name="_GoBack"/>
      <w:bookmarkEnd w:id="38"/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8.6.2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In last meeting, a </w:t>
      </w:r>
      <w:r>
        <w:rPr>
          <w:rFonts w:hint="eastAsia" w:eastAsia="宋体"/>
          <w:bCs/>
          <w:kern w:val="0"/>
          <w:sz w:val="20"/>
          <w:szCs w:val="20"/>
          <w:highlight w:val="none"/>
          <w:lang w:val="en-US" w:eastAsia="zh-CN"/>
        </w:rPr>
        <w:t>WF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 on FR1 4Tx UE RF requirements are approved in [1], we copied some contents below for convenience.</w:t>
      </w:r>
    </w:p>
    <w:p>
      <w:pPr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Chars="0"/>
        <w:textAlignment w:val="auto"/>
        <w:outlineLvl w:val="3"/>
        <w:rPr>
          <w:rFonts w:hint="default" w:ascii="Times New Roman" w:hAnsi="Times New Roman" w:cs="Times New Roman"/>
          <w:bCs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sz w:val="20"/>
          <w:szCs w:val="20"/>
          <w:lang w:val="en-GB" w:eastAsia="en-US" w:bidi="ar-SA"/>
        </w:rPr>
        <w:t>RF parts/performance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hanging="420"/>
        <w:jc w:val="left"/>
        <w:textAlignment w:val="auto"/>
        <w:rPr>
          <w:rFonts w:hint="default"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</w:pPr>
      <w:bookmarkStart w:id="2" w:name="OLE_LINK48"/>
      <w:r>
        <w:rPr>
          <w:rFonts w:hint="default"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  <w:t xml:space="preserve">For both </w:t>
      </w:r>
      <w:bookmarkStart w:id="3" w:name="OLE_LINK45"/>
      <w:r>
        <w:rPr>
          <w:rFonts w:hint="default"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  <w:t>4Tx</w:t>
      </w:r>
      <w:bookmarkEnd w:id="3"/>
      <w:r>
        <w:rPr>
          <w:rFonts w:hint="default"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  <w:t xml:space="preserve"> and 8Rx</w:t>
      </w:r>
    </w:p>
    <w:p>
      <w:pPr>
        <w:keepNext w:val="0"/>
        <w:keepLines w:val="0"/>
        <w:pageBreakBefore w:val="0"/>
        <w:widowControl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840" w:hanging="420"/>
        <w:jc w:val="left"/>
        <w:textAlignment w:val="auto"/>
        <w:rPr>
          <w:rFonts w:hint="default"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</w:pPr>
      <w:bookmarkStart w:id="4" w:name="OLE_LINK1"/>
      <w:r>
        <w:rPr>
          <w:rFonts w:hint="default"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  <w:t>Reuse existing component assumptions for handheld UE unless otherwise stated;</w:t>
      </w:r>
    </w:p>
    <w:p>
      <w:pPr>
        <w:keepNext w:val="0"/>
        <w:keepLines w:val="0"/>
        <w:pageBreakBefore w:val="0"/>
        <w:widowControl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840" w:hanging="420"/>
        <w:jc w:val="left"/>
        <w:textAlignment w:val="auto"/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</w:pPr>
      <w:r>
        <w:rPr>
          <w:rFonts w:hint="default"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  <w:t>No differentiation of CPE/FWA;</w:t>
      </w:r>
    </w:p>
    <w:bookmarkEnd w:id="4"/>
    <w:p>
      <w:pPr>
        <w:keepNext w:val="0"/>
        <w:keepLines w:val="0"/>
        <w:pageBreakBefore w:val="0"/>
        <w:widowControl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840" w:hanging="420"/>
        <w:jc w:val="left"/>
        <w:textAlignment w:val="auto"/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</w:pPr>
      <w:r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  <w:t>FFS on</w:t>
      </w:r>
    </w:p>
    <w:p>
      <w:pPr>
        <w:keepNext w:val="0"/>
        <w:keepLines w:val="0"/>
        <w:pageBreakBefore w:val="0"/>
        <w:widowControl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260" w:hanging="420"/>
        <w:jc w:val="left"/>
        <w:textAlignment w:val="auto"/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</w:pPr>
      <w:r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  <w:t>Option 1:</w:t>
      </w:r>
    </w:p>
    <w:p>
      <w:pPr>
        <w:keepNext w:val="0"/>
        <w:keepLines w:val="0"/>
        <w:pageBreakBefore w:val="0"/>
        <w:widowControl/>
        <w:numPr>
          <w:ilvl w:val="3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680" w:hanging="420"/>
        <w:jc w:val="left"/>
        <w:textAlignment w:val="auto"/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</w:pPr>
      <w:r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  <w:t xml:space="preserve">Vehicular UE should have high antenna isolation characteristics similar to CPE and FWA </w:t>
      </w:r>
    </w:p>
    <w:p>
      <w:pPr>
        <w:keepNext w:val="0"/>
        <w:keepLines w:val="0"/>
        <w:pageBreakBefore w:val="0"/>
        <w:widowControl/>
        <w:numPr>
          <w:ilvl w:val="3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680" w:hanging="420"/>
        <w:jc w:val="left"/>
        <w:textAlignment w:val="auto"/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</w:pPr>
      <w:bookmarkStart w:id="5" w:name="OLE_LINK33"/>
      <w:r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  <w:t>One set of requirements</w:t>
      </w:r>
      <w:bookmarkEnd w:id="5"/>
      <w:r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  <w:t xml:space="preserve"> for </w:t>
      </w:r>
      <w:bookmarkStart w:id="6" w:name="OLE_LINK35"/>
      <w:r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  <w:t>CPE/FWA/vehicle/industrial devices</w:t>
      </w:r>
      <w:bookmarkEnd w:id="6"/>
      <w:r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  <w:t>;</w:t>
      </w:r>
    </w:p>
    <w:p>
      <w:pPr>
        <w:keepNext w:val="0"/>
        <w:keepLines w:val="0"/>
        <w:pageBreakBefore w:val="0"/>
        <w:widowControl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260" w:hanging="420"/>
        <w:jc w:val="left"/>
        <w:textAlignment w:val="auto"/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</w:pPr>
      <w:r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  <w:t>Option 2:</w:t>
      </w:r>
    </w:p>
    <w:p>
      <w:pPr>
        <w:keepNext w:val="0"/>
        <w:keepLines w:val="0"/>
        <w:pageBreakBefore w:val="0"/>
        <w:widowControl/>
        <w:numPr>
          <w:ilvl w:val="3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680" w:hanging="420"/>
        <w:jc w:val="left"/>
        <w:textAlignment w:val="auto"/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</w:pPr>
      <w:bookmarkStart w:id="7" w:name="OLE_LINK32"/>
      <w:bookmarkStart w:id="8" w:name="OLE_LINK44"/>
      <w:r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  <w:t>Vehicular UE has same antenna isolation as handheld UE</w:t>
      </w:r>
      <w:bookmarkEnd w:id="7"/>
      <w:r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  <w:t xml:space="preserve"> (Previous agreement)</w:t>
      </w:r>
    </w:p>
    <w:p>
      <w:pPr>
        <w:keepNext w:val="0"/>
        <w:keepLines w:val="0"/>
        <w:pageBreakBefore w:val="0"/>
        <w:widowControl/>
        <w:numPr>
          <w:ilvl w:val="3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680" w:hanging="420"/>
        <w:jc w:val="left"/>
        <w:textAlignment w:val="auto"/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</w:pPr>
      <w:r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GB" w:eastAsia="zh-CN"/>
        </w:rPr>
        <w:t>Two set of requirements for CPE/FWA/vehicle/industrial devices;</w:t>
      </w:r>
    </w:p>
    <w:bookmarkEnd w:id="2"/>
    <w:bookmarkEnd w:id="8"/>
    <w:p>
      <w:pPr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Chars="0"/>
        <w:textAlignment w:val="auto"/>
        <w:outlineLvl w:val="3"/>
        <w:rPr>
          <w:rFonts w:hint="eastAsia" w:ascii="Times New Roman" w:hAnsi="Times New Roman" w:eastAsia="宋体" w:cs="Times New Roman"/>
          <w:i/>
          <w:iCs/>
          <w:sz w:val="20"/>
          <w:szCs w:val="20"/>
          <w:lang w:val="en-GB" w:eastAsia="en-US" w:bidi="ar-SA"/>
        </w:rPr>
      </w:pPr>
      <w:r>
        <w:rPr>
          <w:rFonts w:hint="default" w:ascii="Times New Roman" w:hAnsi="Times New Roman" w:eastAsia="宋体" w:cs="Times New Roman"/>
          <w:i/>
          <w:iCs/>
          <w:sz w:val="20"/>
          <w:szCs w:val="20"/>
          <w:lang w:val="en-GB" w:eastAsia="en-US" w:bidi="ar-SA"/>
        </w:rPr>
        <w:t>SAR compliance</w:t>
      </w:r>
    </w:p>
    <w:p>
      <w:pPr>
        <w:widowControl w:val="0"/>
        <w:numPr>
          <w:ilvl w:val="1"/>
          <w:numId w:val="8"/>
        </w:numPr>
        <w:tabs>
          <w:tab w:val="left" w:pos="484"/>
          <w:tab w:val="left" w:pos="709"/>
          <w:tab w:val="left" w:pos="1701"/>
        </w:tabs>
        <w:snapToGrid w:val="0"/>
        <w:spacing w:after="100"/>
        <w:ind w:left="730" w:leftChars="213" w:hanging="283"/>
        <w:jc w:val="left"/>
        <w:rPr>
          <w:rFonts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  <w:t xml:space="preserve">Option 1: Only consider P-MPR approach for </w:t>
      </w:r>
      <w:bookmarkStart w:id="9" w:name="OLE_LINK34"/>
      <w:bookmarkStart w:id="10" w:name="OLE_LINK22"/>
      <w:r>
        <w:rPr>
          <w:rFonts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  <w:t>CPE/FWA/vehicle/industrial devices</w:t>
      </w:r>
      <w:bookmarkEnd w:id="9"/>
      <w:r>
        <w:rPr>
          <w:rFonts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  <w:t xml:space="preserve"> </w:t>
      </w:r>
      <w:bookmarkEnd w:id="10"/>
    </w:p>
    <w:p>
      <w:pPr>
        <w:widowControl w:val="0"/>
        <w:numPr>
          <w:ilvl w:val="1"/>
          <w:numId w:val="8"/>
        </w:numPr>
        <w:tabs>
          <w:tab w:val="left" w:pos="484"/>
          <w:tab w:val="left" w:pos="709"/>
          <w:tab w:val="left" w:pos="1701"/>
        </w:tabs>
        <w:snapToGrid w:val="0"/>
        <w:spacing w:after="100"/>
        <w:ind w:left="730" w:leftChars="213" w:hanging="283"/>
        <w:jc w:val="left"/>
        <w:rPr>
          <w:rFonts w:hint="default" w:ascii="Times New Roman" w:hAnsi="Times New Roman" w:eastAsia="宋体" w:cs="Times New Roman"/>
          <w:i/>
          <w:iCs/>
          <w:sz w:val="20"/>
          <w:szCs w:val="20"/>
          <w:lang w:val="en-GB" w:eastAsia="en-US" w:bidi="ar-SA"/>
        </w:rPr>
      </w:pPr>
      <w:r>
        <w:rPr>
          <w:rFonts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  <w:t xml:space="preserve">Option 2: Confirm existing solutions including P-MPR and UL </w:t>
      </w:r>
      <w:bookmarkStart w:id="11" w:name="OLE_LINK46"/>
      <w:r>
        <w:rPr>
          <w:rFonts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  <w:t>dutycycle scheme</w:t>
      </w:r>
      <w:bookmarkEnd w:id="11"/>
      <w:r>
        <w:rPr>
          <w:rFonts w:ascii="Times New Roman" w:hAnsi="Times New Roman" w:cs="Times New Roman"/>
          <w:i/>
          <w:iCs/>
          <w:kern w:val="0"/>
          <w:sz w:val="20"/>
          <w:szCs w:val="20"/>
          <w:lang w:val="en-GB" w:eastAsia="zh-CN"/>
        </w:rPr>
        <w:t xml:space="preserve"> for CPE/FWA/vehicle/industrial devices since P-MPR number is flexible and dutycycle is or optional.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 w:line="240" w:lineRule="auto"/>
        <w:jc w:val="left"/>
        <w:textAlignment w:val="auto"/>
        <w:rPr>
          <w:rFonts w:hint="eastAsia" w:eastAsia="宋体"/>
          <w:bCs/>
          <w:kern w:val="0"/>
          <w:sz w:val="20"/>
          <w:szCs w:val="20"/>
          <w:highlight w:val="none"/>
          <w:lang w:val="en-US" w:eastAsia="zh-CN"/>
        </w:rPr>
      </w:pPr>
      <w:bookmarkStart w:id="12" w:name="OLE_LINK25"/>
      <w:r>
        <w:rPr>
          <w:rFonts w:hint="eastAsia" w:eastAsia="宋体"/>
          <w:bCs/>
          <w:kern w:val="0"/>
          <w:sz w:val="20"/>
          <w:szCs w:val="20"/>
          <w:highlight w:val="none"/>
          <w:lang w:val="en-US" w:eastAsia="zh-CN"/>
        </w:rPr>
        <w:t xml:space="preserve">In this contributions, we give some discussions on the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above issues. </w:t>
      </w:r>
    </w:p>
    <w:bookmarkEnd w:id="12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pStyle w:val="62"/>
        <w:widowControl w:val="0"/>
        <w:spacing w:before="120" w:line="240" w:lineRule="auto"/>
        <w:ind w:left="0" w:firstLine="0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bookmarkStart w:id="13" w:name="OLE_LINK23"/>
      <w:bookmarkStart w:id="14" w:name="OLE_LINK66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This WF combined both 4Tx and 8Rx to keep the consistency between these two topics. In our understanding, it is unclear for the two options since the mentioned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u w:val="single"/>
          <w:lang w:val="en-US" w:eastAsia="zh-CN"/>
        </w:rPr>
        <w:t>requirements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 are not clear, which can be interpreted as all of the RF requirements. However, in terms of the discussion of 4Tx and 8Rx, it was agreed that only some </w:t>
      </w:r>
      <w:bookmarkStart w:id="15" w:name="OLE_LINK5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RF requirements should be re-defined</w:t>
      </w:r>
      <w:bookmarkEnd w:id="15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, which means for most RF requirements, the existing requirements should be re-used.</w:t>
      </w:r>
    </w:p>
    <w:p>
      <w:pPr>
        <w:pStyle w:val="62"/>
        <w:widowControl w:val="0"/>
        <w:spacing w:before="120" w:line="240" w:lineRule="auto"/>
        <w:ind w:left="0" w:firstLine="0"/>
        <w:rPr>
          <w:rFonts w:hint="default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</w:pPr>
      <w:bookmarkStart w:id="16" w:name="OLE_LINK9"/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 1: Only some RF requirements should be re-defined for 4Tx and 8Rx, respectively.</w:t>
      </w:r>
    </w:p>
    <w:bookmarkEnd w:id="16"/>
    <w:p>
      <w:pPr>
        <w:pStyle w:val="62"/>
        <w:widowControl w:val="0"/>
        <w:spacing w:before="120" w:line="240" w:lineRule="auto"/>
        <w:ind w:left="0" w:firstLine="0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The main RF requirements are needed to be re-discussed and re-defined for 4Tx and 8Rx are:</w:t>
      </w:r>
    </w:p>
    <w:p>
      <w:pPr>
        <w:pStyle w:val="62"/>
        <w:widowControl w:val="0"/>
        <w:spacing w:before="120" w:line="240" w:lineRule="auto"/>
        <w:ind w:left="0" w:firstLine="0"/>
        <w:outlineLvl w:val="0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1: 4Tx: MPR</w:t>
      </w:r>
    </w:p>
    <w:p>
      <w:pPr>
        <w:pStyle w:val="62"/>
        <w:widowControl w:val="0"/>
        <w:spacing w:before="120" w:line="240" w:lineRule="auto"/>
        <w:ind w:left="0" w:firstLine="0"/>
        <w:outlineLvl w:val="0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2: 8Rx: </w:t>
      </w:r>
      <w:bookmarkStart w:id="17" w:name="OLE_LINK21"/>
      <w:r>
        <w:rPr>
          <w:rFonts w:hint="default" w:ascii="Times New Roman" w:hAnsi="Times New Roman" w:eastAsia="宋体" w:cs="Times New Roman"/>
          <w:b w:val="0"/>
          <w:bCs/>
          <w:kern w:val="2"/>
          <w:sz w:val="20"/>
          <w:szCs w:val="20"/>
          <w:u w:val="none"/>
          <w:lang w:val="en-US" w:eastAsia="zh-CN" w:bidi="ar-SA"/>
        </w:rPr>
        <w:t>Δ</w:t>
      </w:r>
      <w:bookmarkEnd w:id="17"/>
      <w:bookmarkStart w:id="18" w:name="OLE_LINK4"/>
      <w:r>
        <w:rPr>
          <w:rFonts w:hint="default" w:ascii="Times New Roman" w:hAnsi="Times New Roman" w:eastAsia="宋体" w:cs="Times New Roman"/>
          <w:b w:val="0"/>
          <w:bCs/>
          <w:kern w:val="2"/>
          <w:sz w:val="20"/>
          <w:szCs w:val="20"/>
          <w:u w:val="none"/>
          <w:lang w:val="en-US" w:eastAsia="zh-CN" w:bidi="ar-SA"/>
        </w:rPr>
        <w:t>T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0"/>
          <w:szCs w:val="20"/>
          <w:u w:val="none"/>
          <w:vertAlign w:val="subscript"/>
          <w:lang w:val="en-US" w:eastAsia="zh-CN" w:bidi="ar-SA"/>
        </w:rPr>
        <w:t>RxSRS</w:t>
      </w:r>
      <w:bookmarkEnd w:id="18"/>
      <w:r>
        <w:rPr>
          <w:rFonts w:hint="eastAsia" w:cs="Times New Roman"/>
          <w:b w:val="0"/>
          <w:bCs/>
          <w:kern w:val="2"/>
          <w:sz w:val="20"/>
          <w:szCs w:val="20"/>
          <w:u w:val="none"/>
          <w:vertAlign w:val="baseline"/>
          <w:lang w:val="en-US" w:eastAsia="zh-CN" w:bidi="ar-SA"/>
        </w:rPr>
        <w:t xml:space="preserve">, </w:t>
      </w:r>
      <w:bookmarkStart w:id="19" w:name="OLE_LINK27"/>
      <w:r>
        <w:rPr>
          <w:rFonts w:hint="default" w:ascii="Times New Roman" w:hAnsi="Times New Roman" w:eastAsia="宋体" w:cs="Times New Roman"/>
          <w:b w:val="0"/>
          <w:bCs/>
          <w:kern w:val="2"/>
          <w:sz w:val="20"/>
          <w:szCs w:val="20"/>
          <w:u w:val="none"/>
          <w:lang w:val="en-US" w:eastAsia="zh-CN" w:bidi="ar-SA"/>
        </w:rPr>
        <w:t>Δ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R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vertAlign w:val="subscript"/>
          <w:lang w:val="en-US" w:eastAsia="zh-CN"/>
        </w:rPr>
        <w:t>IB,8R</w:t>
      </w:r>
      <w:bookmarkEnd w:id="19"/>
    </w:p>
    <w:p>
      <w:pPr>
        <w:pStyle w:val="62"/>
        <w:widowControl w:val="0"/>
        <w:spacing w:before="120" w:line="240" w:lineRule="auto"/>
        <w:ind w:left="0" w:firstLine="0"/>
        <w:rPr>
          <w:rFonts w:hint="eastAsia" w:cs="Times New Roman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For the 4Tx </w:t>
      </w:r>
      <w:r>
        <w:rPr>
          <w:rFonts w:eastAsia="等线"/>
          <w:i w:val="0"/>
          <w:iCs/>
          <w:lang w:eastAsia="zh-CN"/>
        </w:rPr>
        <w:t>specific requirements</w:t>
      </w:r>
      <w:r>
        <w:rPr>
          <w:rFonts w:hint="eastAsia" w:eastAsia="等线"/>
          <w:i w:val="0"/>
          <w:iCs/>
          <w:lang w:val="en-US" w:eastAsia="zh-CN"/>
        </w:rPr>
        <w:t xml:space="preserve">, </w:t>
      </w:r>
      <w:r>
        <w:rPr>
          <w:rFonts w:hint="eastAsia" w:cs="Times New Roman"/>
          <w:b w:val="0"/>
          <w:bCs w:val="0"/>
          <w:i w:val="0"/>
          <w:iCs/>
          <w:kern w:val="0"/>
          <w:sz w:val="20"/>
          <w:szCs w:val="20"/>
          <w:highlight w:val="none"/>
          <w:lang w:val="en-US" w:eastAsia="zh-CN"/>
        </w:rPr>
        <w:t>of course,</w:t>
      </w:r>
      <w:r>
        <w:rPr>
          <w:rFonts w:eastAsia="等线"/>
          <w:i w:val="0"/>
          <w:iCs/>
          <w:lang w:eastAsia="zh-CN"/>
        </w:rPr>
        <w:t xml:space="preserve"> </w:t>
      </w:r>
      <w:r>
        <w:rPr>
          <w:rFonts w:hint="eastAsia" w:eastAsia="等线"/>
          <w:i w:val="0"/>
          <w:iCs/>
          <w:lang w:val="en-US" w:eastAsia="zh-CN"/>
        </w:rPr>
        <w:t xml:space="preserve">shall be developed </w:t>
      </w:r>
      <w:r>
        <w:rPr>
          <w:rFonts w:eastAsia="等线"/>
          <w:i w:val="0"/>
          <w:iCs/>
          <w:lang w:eastAsia="zh-CN"/>
        </w:rPr>
        <w:t>on a case-by-case basis</w:t>
      </w:r>
      <w:r>
        <w:rPr>
          <w:rFonts w:hint="eastAsia" w:eastAsia="等线"/>
          <w:i w:val="0"/>
          <w:iCs/>
          <w:lang w:val="en-US" w:eastAsia="zh-CN"/>
        </w:rPr>
        <w:t xml:space="preserve"> by using the basic principle, which is per-UE, or p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  <w:lang w:val="en-US" w:eastAsia="zh-CN" w:bidi="ar"/>
        </w:rPr>
        <w:t xml:space="preserve">er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each transmit antenna connector</w:t>
      </w:r>
      <w:r>
        <w:rPr>
          <w:rFonts w:hint="eastAsia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, or per layer, etc. Also, the TPMI index for 4Tx are approved but for all UE types of </w:t>
      </w:r>
      <w:r>
        <w:rPr>
          <w:rFonts w:hint="eastAsia" w:eastAsia="宋体" w:cs="Times New Roman"/>
          <w:color w:val="000000"/>
          <w:kern w:val="0"/>
          <w:sz w:val="20"/>
          <w:szCs w:val="20"/>
          <w:lang w:val="en-GB" w:eastAsia="zh-CN" w:bidi="ar"/>
        </w:rPr>
        <w:t>CPE/FWA/vehicle/industrial devices</w:t>
      </w:r>
      <w:r>
        <w:rPr>
          <w:rFonts w:hint="eastAsia" w:cs="Times New Roman"/>
          <w:color w:val="000000"/>
          <w:kern w:val="0"/>
          <w:sz w:val="20"/>
          <w:szCs w:val="20"/>
          <w:lang w:val="en-US" w:eastAsia="zh-CN" w:bidi="ar"/>
        </w:rPr>
        <w:t>. It shall be noted that all the Rx requirements to support 4Tx are re-used from 2Tx with slight modifications such as antenna connector numbers.</w:t>
      </w:r>
    </w:p>
    <w:p>
      <w:pPr>
        <w:numPr>
          <w:ilvl w:val="1"/>
          <w:numId w:val="0"/>
        </w:numPr>
        <w:rPr>
          <w:rFonts w:hint="default" w:cs="Times New Roman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cs="Times New Roman"/>
          <w:color w:val="000000"/>
          <w:kern w:val="0"/>
          <w:sz w:val="20"/>
          <w:szCs w:val="20"/>
          <w:lang w:val="en-US" w:eastAsia="zh-CN" w:bidi="ar"/>
        </w:rPr>
        <w:t xml:space="preserve">For 8Rx, 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0"/>
          <w:szCs w:val="20"/>
          <w:u w:val="none"/>
          <w:lang w:val="en-US" w:eastAsia="zh-CN" w:bidi="ar-SA"/>
        </w:rPr>
        <w:t>ΔT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0"/>
          <w:szCs w:val="20"/>
          <w:u w:val="none"/>
          <w:vertAlign w:val="subscript"/>
          <w:lang w:val="en-US" w:eastAsia="zh-CN" w:bidi="ar-SA"/>
        </w:rPr>
        <w:t>RxSRS</w:t>
      </w:r>
      <w:r>
        <w:rPr>
          <w:rFonts w:hint="eastAsia" w:cs="Times New Roman"/>
          <w:b w:val="0"/>
          <w:bCs/>
          <w:kern w:val="2"/>
          <w:sz w:val="20"/>
          <w:szCs w:val="20"/>
          <w:u w:val="none"/>
          <w:vertAlign w:val="subscript"/>
          <w:lang w:val="en-US" w:eastAsia="zh-CN" w:bidi="ar-SA"/>
        </w:rPr>
        <w:t xml:space="preserve"> </w:t>
      </w:r>
      <w:r>
        <w:rPr>
          <w:rFonts w:hint="eastAsia" w:cs="Times New Roman"/>
          <w:color w:val="000000"/>
          <w:kern w:val="0"/>
          <w:sz w:val="20"/>
          <w:szCs w:val="20"/>
          <w:lang w:val="en-US" w:eastAsia="zh-CN" w:bidi="ar"/>
        </w:rPr>
        <w:t xml:space="preserve">requirements were discussed in last meeting, and it was agreed that </w:t>
      </w:r>
      <w:r>
        <w:rPr>
          <w:rFonts w:hint="eastAsia"/>
          <w:sz w:val="20"/>
          <w:szCs w:val="20"/>
          <w:lang w:val="en-US" w:eastAsia="ja-JP"/>
        </w:rPr>
        <w:t>[</w:t>
      </w:r>
      <w:r>
        <w:rPr>
          <w:sz w:val="20"/>
          <w:szCs w:val="20"/>
          <w:lang w:val="en-US" w:eastAsia="ja-JP"/>
        </w:rPr>
        <w:t>4.0dB] for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0"/>
          <w:szCs w:val="20"/>
          <w:u w:val="none"/>
          <w:lang w:val="en-US" w:eastAsia="zh-CN" w:bidi="ar-SA"/>
        </w:rPr>
        <w:t>Δ</w:t>
      </w:r>
      <w:r>
        <w:rPr>
          <w:bCs/>
          <w:sz w:val="20"/>
          <w:szCs w:val="20"/>
          <w:lang w:eastAsia="ko-KR"/>
        </w:rPr>
        <w:t>T</w:t>
      </w:r>
      <w:r>
        <w:rPr>
          <w:bCs/>
          <w:sz w:val="20"/>
          <w:szCs w:val="20"/>
          <w:vertAlign w:val="subscript"/>
          <w:lang w:eastAsia="ko-KR"/>
        </w:rPr>
        <w:t>RxSRS</w:t>
      </w:r>
      <w:r>
        <w:rPr>
          <w:bCs/>
          <w:sz w:val="20"/>
          <w:szCs w:val="20"/>
          <w:lang w:eastAsia="ko-KR"/>
        </w:rPr>
        <w:t xml:space="preserve"> for 8Rx for 1T8R</w:t>
      </w:r>
      <w:r>
        <w:rPr>
          <w:sz w:val="20"/>
          <w:szCs w:val="20"/>
          <w:lang w:val="en-US" w:eastAsia="ja-JP"/>
        </w:rPr>
        <w:t xml:space="preserve"> for n77/n78/[n41] as a starting point.</w:t>
      </w:r>
      <w:r>
        <w:rPr>
          <w:rFonts w:hint="eastAsia"/>
          <w:sz w:val="20"/>
          <w:szCs w:val="20"/>
          <w:lang w:val="en-US" w:eastAsia="zh-CN"/>
        </w:rPr>
        <w:t xml:space="preserve"> In terms of the discussion, the requirements were defined as UE type agnostic. However, for 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0"/>
          <w:szCs w:val="20"/>
          <w:u w:val="none"/>
          <w:lang w:val="en-US" w:eastAsia="zh-CN" w:bidi="ar-SA"/>
        </w:rPr>
        <w:t>Δ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R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vertAlign w:val="subscript"/>
          <w:lang w:val="en-US" w:eastAsia="zh-CN"/>
        </w:rPr>
        <w:t xml:space="preserve">IB,8R </w:t>
      </w:r>
      <w:r>
        <w:rPr>
          <w:rFonts w:hint="eastAsia"/>
          <w:sz w:val="20"/>
          <w:szCs w:val="20"/>
          <w:lang w:val="en-US" w:eastAsia="zh-CN"/>
        </w:rPr>
        <w:t>requirements, companies commented that it should be agreed whether one or two set of requirements should be defined.</w:t>
      </w:r>
    </w:p>
    <w:p>
      <w:pPr>
        <w:pStyle w:val="62"/>
        <w:widowControl w:val="0"/>
        <w:spacing w:before="120" w:line="240" w:lineRule="auto"/>
        <w:ind w:left="0" w:firstLine="0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Therefore, in our understanding, </w:t>
      </w:r>
      <w:bookmarkStart w:id="20" w:name="OLE_LINK31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the question itself should be whether</w:t>
      </w:r>
      <w:r>
        <w:rPr>
          <w:rFonts w:hint="eastAsia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 to define o</w:t>
      </w:r>
      <w:r>
        <w:rPr>
          <w:rFonts w:hint="default" w:eastAsia="宋体" w:cs="Times New Roman"/>
          <w:color w:val="000000"/>
          <w:kern w:val="0"/>
          <w:sz w:val="20"/>
          <w:szCs w:val="20"/>
          <w:lang w:val="en-GB" w:eastAsia="zh-CN" w:bidi="ar"/>
        </w:rPr>
        <w:t>ne</w:t>
      </w:r>
      <w:r>
        <w:rPr>
          <w:rFonts w:hint="eastAsia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 or two</w:t>
      </w:r>
      <w:r>
        <w:rPr>
          <w:rFonts w:hint="default" w:eastAsia="宋体" w:cs="Times New Roman"/>
          <w:color w:val="000000"/>
          <w:kern w:val="0"/>
          <w:sz w:val="20"/>
          <w:szCs w:val="20"/>
          <w:lang w:val="en-GB" w:eastAsia="zh-CN" w:bidi="ar"/>
        </w:rPr>
        <w:t xml:space="preserve"> set of </w:t>
      </w:r>
      <w:r>
        <w:rPr>
          <w:rFonts w:hint="eastAsia" w:eastAsia="宋体" w:cs="Times New Roman"/>
          <w:color w:val="000000"/>
          <w:kern w:val="0"/>
          <w:sz w:val="20"/>
          <w:szCs w:val="20"/>
          <w:u w:val="none"/>
          <w:lang w:val="en-US" w:eastAsia="zh-CN" w:bidi="ar"/>
        </w:rPr>
        <w:t xml:space="preserve">MPR </w:t>
      </w:r>
      <w:bookmarkStart w:id="21" w:name="OLE_LINK7"/>
      <w:r>
        <w:rPr>
          <w:rFonts w:hint="default" w:eastAsia="宋体" w:cs="Times New Roman"/>
          <w:color w:val="000000"/>
          <w:kern w:val="0"/>
          <w:sz w:val="20"/>
          <w:szCs w:val="20"/>
          <w:lang w:val="en-GB" w:eastAsia="zh-CN" w:bidi="ar"/>
        </w:rPr>
        <w:t>requirements</w:t>
      </w:r>
      <w:r>
        <w:rPr>
          <w:rFonts w:hint="eastAsia" w:cs="Times New Roman"/>
          <w:color w:val="000000"/>
          <w:kern w:val="0"/>
          <w:sz w:val="20"/>
          <w:szCs w:val="20"/>
          <w:lang w:val="en-US" w:eastAsia="zh-CN" w:bidi="ar"/>
        </w:rPr>
        <w:t xml:space="preserve"> </w:t>
      </w:r>
      <w:bookmarkEnd w:id="21"/>
      <w:r>
        <w:rPr>
          <w:rFonts w:hint="eastAsia" w:cs="Times New Roman"/>
          <w:color w:val="000000"/>
          <w:kern w:val="0"/>
          <w:sz w:val="20"/>
          <w:szCs w:val="20"/>
          <w:lang w:val="en-US" w:eastAsia="zh-CN" w:bidi="ar"/>
        </w:rPr>
        <w:t xml:space="preserve">for 4Tx and 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0"/>
          <w:szCs w:val="20"/>
          <w:u w:val="none"/>
          <w:lang w:val="en-US" w:eastAsia="zh-CN" w:bidi="ar-SA"/>
        </w:rPr>
        <w:t>Δ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u w:val="none"/>
          <w:lang w:val="en-US" w:eastAsia="zh-CN"/>
        </w:rPr>
        <w:t>R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u w:val="none"/>
          <w:vertAlign w:val="subscript"/>
          <w:lang w:val="en-US" w:eastAsia="zh-CN"/>
        </w:rPr>
        <w:t>IB,8R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u w:val="none"/>
          <w:vertAlign w:val="baseline"/>
          <w:lang w:val="en-US" w:eastAsia="zh-CN"/>
        </w:rPr>
        <w:t xml:space="preserve"> </w:t>
      </w:r>
      <w:r>
        <w:rPr>
          <w:rFonts w:hint="default" w:eastAsia="宋体" w:cs="Times New Roman"/>
          <w:color w:val="000000"/>
          <w:kern w:val="0"/>
          <w:sz w:val="20"/>
          <w:szCs w:val="20"/>
          <w:lang w:val="en-GB" w:eastAsia="zh-CN" w:bidi="ar"/>
        </w:rPr>
        <w:t>requirements</w:t>
      </w:r>
      <w:r>
        <w:rPr>
          <w:rFonts w:hint="eastAsia" w:cs="Times New Roman"/>
          <w:color w:val="00000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vertAlign w:val="baseline"/>
          <w:lang w:val="en-US" w:eastAsia="zh-CN"/>
        </w:rPr>
        <w:t>for 8Rx, respectively.</w:t>
      </w:r>
      <w:bookmarkEnd w:id="20"/>
    </w:p>
    <w:p>
      <w:pPr>
        <w:pStyle w:val="62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default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</w:pPr>
      <w:bookmarkStart w:id="22" w:name="OLE_LINK2"/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 2: The question itself should be whether</w:t>
      </w:r>
      <w:r>
        <w:rPr>
          <w:rFonts w:hint="eastAsia" w:eastAsia="宋体" w:cs="Times New Roman"/>
          <w:b/>
          <w:bCs/>
          <w:i/>
          <w:iCs/>
          <w:color w:val="000000"/>
          <w:kern w:val="0"/>
          <w:sz w:val="20"/>
          <w:szCs w:val="20"/>
          <w:lang w:val="en-US" w:eastAsia="zh-CN" w:bidi="ar"/>
        </w:rPr>
        <w:t xml:space="preserve"> to define o</w:t>
      </w:r>
      <w:r>
        <w:rPr>
          <w:rFonts w:hint="default" w:eastAsia="宋体" w:cs="Times New Roman"/>
          <w:b/>
          <w:bCs/>
          <w:i/>
          <w:iCs/>
          <w:color w:val="000000"/>
          <w:kern w:val="0"/>
          <w:sz w:val="20"/>
          <w:szCs w:val="20"/>
          <w:lang w:val="en-GB" w:eastAsia="zh-CN" w:bidi="ar"/>
        </w:rPr>
        <w:t>ne</w:t>
      </w:r>
      <w:r>
        <w:rPr>
          <w:rFonts w:hint="eastAsia" w:eastAsia="宋体" w:cs="Times New Roman"/>
          <w:b/>
          <w:bCs/>
          <w:i/>
          <w:iCs/>
          <w:color w:val="000000"/>
          <w:kern w:val="0"/>
          <w:sz w:val="20"/>
          <w:szCs w:val="20"/>
          <w:lang w:val="en-US" w:eastAsia="zh-CN" w:bidi="ar"/>
        </w:rPr>
        <w:t xml:space="preserve"> or two</w:t>
      </w:r>
      <w:r>
        <w:rPr>
          <w:rFonts w:hint="default" w:eastAsia="宋体" w:cs="Times New Roman"/>
          <w:b/>
          <w:bCs/>
          <w:i/>
          <w:iCs/>
          <w:color w:val="000000"/>
          <w:kern w:val="0"/>
          <w:sz w:val="20"/>
          <w:szCs w:val="20"/>
          <w:lang w:val="en-GB" w:eastAsia="zh-CN" w:bidi="ar"/>
        </w:rPr>
        <w:t xml:space="preserve"> set of </w:t>
      </w:r>
      <w:r>
        <w:rPr>
          <w:rFonts w:hint="eastAsia" w:eastAsia="宋体" w:cs="Times New Roman"/>
          <w:b/>
          <w:bCs/>
          <w:i/>
          <w:iCs/>
          <w:color w:val="000000"/>
          <w:kern w:val="0"/>
          <w:sz w:val="20"/>
          <w:szCs w:val="20"/>
          <w:u w:val="none"/>
          <w:lang w:val="en-US" w:eastAsia="zh-CN" w:bidi="ar"/>
        </w:rPr>
        <w:t xml:space="preserve">MPR </w:t>
      </w:r>
      <w:r>
        <w:rPr>
          <w:rFonts w:hint="default" w:eastAsia="宋体" w:cs="Times New Roman"/>
          <w:b/>
          <w:bCs/>
          <w:i/>
          <w:iCs/>
          <w:color w:val="000000"/>
          <w:kern w:val="0"/>
          <w:sz w:val="20"/>
          <w:szCs w:val="20"/>
          <w:lang w:val="en-GB" w:eastAsia="zh-CN" w:bidi="ar"/>
        </w:rPr>
        <w:t>requirements</w:t>
      </w:r>
      <w:r>
        <w:rPr>
          <w:rFonts w:hint="eastAsia" w:cs="Times New Roman"/>
          <w:b/>
          <w:bCs/>
          <w:i/>
          <w:iCs/>
          <w:color w:val="000000"/>
          <w:kern w:val="0"/>
          <w:sz w:val="20"/>
          <w:szCs w:val="20"/>
          <w:lang w:val="en-US" w:eastAsia="zh-CN" w:bidi="ar"/>
        </w:rPr>
        <w:t xml:space="preserve"> for 4Tx and </w:t>
      </w:r>
      <w:r>
        <w:rPr>
          <w:rFonts w:hint="default" w:ascii="Times New Roman" w:hAnsi="Times New Roman" w:eastAsia="宋体" w:cs="Times New Roman"/>
          <w:b/>
          <w:bCs/>
          <w:i/>
          <w:iCs/>
          <w:kern w:val="2"/>
          <w:sz w:val="20"/>
          <w:szCs w:val="20"/>
          <w:u w:val="none"/>
          <w:lang w:val="en-US" w:eastAsia="zh-CN" w:bidi="ar-SA"/>
        </w:rPr>
        <w:t>Δ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u w:val="none"/>
          <w:lang w:val="en-US" w:eastAsia="zh-CN"/>
        </w:rPr>
        <w:t>R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u w:val="none"/>
          <w:vertAlign w:val="subscript"/>
          <w:lang w:val="en-US" w:eastAsia="zh-CN"/>
        </w:rPr>
        <w:t>IB,8R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u w:val="none"/>
          <w:vertAlign w:val="baseline"/>
          <w:lang w:val="en-US" w:eastAsia="zh-CN"/>
        </w:rPr>
        <w:t xml:space="preserve"> 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vertAlign w:val="baseline"/>
          <w:lang w:val="en-US" w:eastAsia="zh-CN"/>
        </w:rPr>
        <w:t>for 8Rx, respectively.</w:t>
      </w:r>
    </w:p>
    <w:bookmarkEnd w:id="22"/>
    <w:p>
      <w:pPr>
        <w:pStyle w:val="62"/>
        <w:keepNext w:val="0"/>
        <w:spacing w:before="120" w:after="120" w:line="240" w:lineRule="auto"/>
        <w:ind w:left="0" w:firstLine="0"/>
        <w:rPr>
          <w:rFonts w:hint="eastAsia" w:ascii="Times New Roman" w:hAnsi="Times New Roman" w:eastAsia="宋体" w:cs="Times New Roman"/>
          <w:b/>
          <w:kern w:val="2"/>
          <w:sz w:val="20"/>
          <w:szCs w:val="20"/>
          <w:u w:val="single"/>
          <w:lang w:val="en-US" w:eastAsia="zh-CN" w:bidi="ar-SA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vertAlign w:val="baseline"/>
          <w:lang w:val="en-US" w:eastAsia="zh-CN"/>
        </w:rPr>
        <w:t>In RAN4 #104 meeting, for MPR requirements framework for 4Tx were agreed as:</w:t>
      </w:r>
    </w:p>
    <w:p>
      <w:pPr>
        <w:keepNext w:val="0"/>
        <w:pageBreakBefore w:val="0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textAlignment w:val="baseline"/>
        <w:rPr>
          <w:i/>
          <w:iCs/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>For 4Tx MPR requirement</w:t>
      </w:r>
      <w:r>
        <w:rPr>
          <w:i/>
          <w:iCs/>
          <w:sz w:val="20"/>
          <w:szCs w:val="20"/>
        </w:rPr>
        <w:t>,</w:t>
      </w:r>
      <w:bookmarkStart w:id="23" w:name="OLE_LINK43"/>
      <w:r>
        <w:rPr>
          <w:i/>
          <w:iCs/>
          <w:sz w:val="20"/>
          <w:szCs w:val="20"/>
        </w:rPr>
        <w:t xml:space="preserve"> the </w:t>
      </w:r>
      <w:bookmarkStart w:id="24" w:name="OLE_LINK41"/>
      <w:bookmarkStart w:id="25" w:name="OLE_LINK36"/>
      <w:r>
        <w:rPr>
          <w:i/>
          <w:iCs/>
          <w:sz w:val="20"/>
          <w:szCs w:val="20"/>
        </w:rPr>
        <w:t xml:space="preserve">high antenna isolation </w:t>
      </w:r>
      <w:bookmarkEnd w:id="24"/>
      <w:r>
        <w:rPr>
          <w:i/>
          <w:iCs/>
          <w:sz w:val="20"/>
          <w:szCs w:val="20"/>
        </w:rPr>
        <w:t xml:space="preserve">compared to handheld UE is assumed for </w:t>
      </w:r>
      <w:bookmarkStart w:id="26" w:name="OLE_LINK42"/>
      <w:r>
        <w:rPr>
          <w:i/>
          <w:iCs/>
          <w:sz w:val="20"/>
          <w:szCs w:val="20"/>
        </w:rPr>
        <w:t xml:space="preserve">CPE and FWA device. </w:t>
      </w:r>
    </w:p>
    <w:bookmarkEnd w:id="23"/>
    <w:bookmarkEnd w:id="25"/>
    <w:bookmarkEnd w:id="26"/>
    <w:p>
      <w:pPr>
        <w:keepNext w:val="0"/>
        <w:pageBreakBefore w:val="0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textAlignment w:val="baseline"/>
        <w:rPr>
          <w:i/>
          <w:iCs/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>For 4Tx MPR requirement</w:t>
      </w:r>
      <w:r>
        <w:rPr>
          <w:i/>
          <w:iCs/>
          <w:sz w:val="20"/>
          <w:szCs w:val="20"/>
        </w:rPr>
        <w:t>, the same antenna isolation as for handheld UE is assumed for vehicular UE.</w:t>
      </w:r>
    </w:p>
    <w:p>
      <w:pPr>
        <w:keepNext w:val="0"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20" w:firstLine="0"/>
        <w:textAlignment w:val="baseline"/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vertAlign w:val="baseline"/>
          <w:lang w:val="en-US" w:eastAsia="zh-CN"/>
        </w:rPr>
        <w:t xml:space="preserve">It can be seen clearly that </w:t>
      </w:r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>v</w:t>
      </w:r>
      <w:r>
        <w:rPr>
          <w:rFonts w:hint="default" w:ascii="Times New Roman" w:hAnsi="Times New Roman" w:eastAsia="等线" w:cs="Times New Roman"/>
          <w:i w:val="0"/>
          <w:iCs w:val="0"/>
          <w:kern w:val="0"/>
          <w:sz w:val="20"/>
          <w:szCs w:val="20"/>
          <w:lang w:val="en-GB" w:eastAsia="zh-CN"/>
        </w:rPr>
        <w:t>ehicular UE has same antenna isolation as handheld UE</w:t>
      </w:r>
      <w:r>
        <w:rPr>
          <w:rFonts w:hint="eastAsia" w:ascii="Times New Roman" w:hAnsi="Times New Roman" w:eastAsia="等线" w:cs="Times New Roman"/>
          <w:i w:val="0"/>
          <w:iCs w:val="0"/>
          <w:kern w:val="0"/>
          <w:sz w:val="20"/>
          <w:szCs w:val="20"/>
          <w:lang w:val="en-US" w:eastAsia="zh-CN"/>
        </w:rPr>
        <w:t xml:space="preserve">, and </w:t>
      </w:r>
      <w:r>
        <w:rPr>
          <w:rFonts w:hint="default" w:ascii="Times New Roman" w:hAnsi="Times New Roman" w:eastAsia="等线" w:cs="Times New Roman"/>
          <w:i w:val="0"/>
          <w:iCs w:val="0"/>
          <w:kern w:val="0"/>
          <w:sz w:val="20"/>
          <w:szCs w:val="20"/>
          <w:lang w:val="en-GB" w:eastAsia="zh-CN"/>
        </w:rPr>
        <w:t xml:space="preserve">high antenna isolation compared to handheld UE is assumed for CPE and FWA device. </w:t>
      </w:r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>We didn</w:t>
      </w:r>
      <w:r>
        <w:rPr>
          <w:rFonts w:hint="default" w:eastAsia="等线" w:cs="Times New Roman"/>
          <w:i w:val="0"/>
          <w:iCs w:val="0"/>
          <w:kern w:val="0"/>
          <w:sz w:val="20"/>
          <w:szCs w:val="20"/>
          <w:lang w:val="en-US" w:eastAsia="zh-CN"/>
        </w:rPr>
        <w:t>’</w:t>
      </w:r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 xml:space="preserve">t see there are reasons to </w:t>
      </w:r>
      <w:bookmarkStart w:id="27" w:name="OLE_LINK37"/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 xml:space="preserve">overturn </w:t>
      </w:r>
      <w:bookmarkEnd w:id="27"/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>this agreements.</w:t>
      </w:r>
    </w:p>
    <w:p>
      <w:pPr>
        <w:keepNext w:val="0"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20" w:firstLine="0"/>
        <w:textAlignment w:val="baseline"/>
        <w:rPr>
          <w:rFonts w:hint="default" w:eastAsia="等线" w:cs="Times New Roman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 xml:space="preserve">Moreover, when we look at the MPR requirements for PC1.5 with dual Tx in the spec (also in the </w:t>
      </w:r>
      <w:bookmarkStart w:id="28" w:name="OLE_LINK38"/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 xml:space="preserve">screenshot </w:t>
      </w:r>
      <w:bookmarkEnd w:id="28"/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 xml:space="preserve">below), there are two sets of the MPR requirements corresponding to different antenna isolation cases, and the MPR values of high </w:t>
      </w:r>
      <w:bookmarkStart w:id="29" w:name="OLE_LINK39"/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 xml:space="preserve">antenna isolation </w:t>
      </w:r>
      <w:bookmarkEnd w:id="29"/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 xml:space="preserve">are smaller than or equals to the values of </w:t>
      </w:r>
      <w:bookmarkStart w:id="30" w:name="OLE_LINK40"/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>low antenna isolation</w:t>
      </w:r>
      <w:bookmarkEnd w:id="30"/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 xml:space="preserve"> (we assume the low antenna isolation here means the 10dB antenna isolation assumption for handheld UE.) </w:t>
      </w:r>
    </w:p>
    <w:p>
      <w:pPr>
        <w:keepNext w:val="0"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20" w:firstLine="0"/>
        <w:textAlignment w:val="baseline"/>
        <w:rPr>
          <w:rFonts w:hint="default" w:eastAsia="等线" w:cs="Times New Roman"/>
          <w:i w:val="0"/>
          <w:iCs w:val="0"/>
          <w:kern w:val="0"/>
          <w:sz w:val="20"/>
          <w:szCs w:val="20"/>
          <w:lang w:val="en-US" w:eastAsia="zh-CN"/>
        </w:rPr>
      </w:pPr>
      <w:r>
        <w:drawing>
          <wp:inline distT="0" distB="0" distL="114300" distR="114300">
            <wp:extent cx="5562600" cy="2049780"/>
            <wp:effectExtent l="0" t="0" r="0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20" w:firstLine="0"/>
        <w:textAlignment w:val="baseline"/>
        <w:rPr>
          <w:rFonts w:hint="default" w:eastAsia="等线" w:cs="Times New Roman"/>
          <w:i w:val="0"/>
          <w:iCs w:val="0"/>
          <w:kern w:val="0"/>
          <w:sz w:val="20"/>
          <w:szCs w:val="20"/>
          <w:lang w:val="en-US" w:eastAsia="zh-CN"/>
        </w:rPr>
      </w:pPr>
      <w:r>
        <w:drawing>
          <wp:inline distT="0" distB="0" distL="114300" distR="114300">
            <wp:extent cx="5547360" cy="214122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736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20" w:leftChars="0"/>
        <w:textAlignment w:val="baseline"/>
        <w:rPr>
          <w:rFonts w:hint="default" w:eastAsia="宋体"/>
          <w:i/>
          <w:iCs/>
          <w:sz w:val="20"/>
          <w:szCs w:val="20"/>
          <w:lang w:val="en-US" w:eastAsia="zh-CN"/>
        </w:rPr>
      </w:pPr>
      <w:r>
        <w:rPr>
          <w:rFonts w:hint="eastAsia" w:eastAsia="等线" w:cs="Times New Roman"/>
          <w:i w:val="0"/>
          <w:iCs w:val="0"/>
          <w:kern w:val="0"/>
          <w:sz w:val="20"/>
          <w:szCs w:val="20"/>
          <w:lang w:val="en-US" w:eastAsia="zh-CN"/>
        </w:rPr>
        <w:t xml:space="preserve">Therefore, although there are no specific values for the </w:t>
      </w:r>
      <w:r>
        <w:rPr>
          <w:i w:val="0"/>
          <w:iCs w:val="0"/>
          <w:sz w:val="20"/>
          <w:szCs w:val="20"/>
        </w:rPr>
        <w:t>high antenna isolation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i w:val="0"/>
          <w:iCs w:val="0"/>
          <w:sz w:val="20"/>
          <w:szCs w:val="20"/>
        </w:rPr>
        <w:t>for CPE and FWA device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, also there were no MPR evaluations so far, we think define two set of MPR requirements are feasible by using the similar approach with 2Tx.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left="20"/>
        <w:textAlignment w:val="baseline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1: For </w:t>
      </w:r>
      <w:r>
        <w:rPr>
          <w:rFonts w:hint="default" w:ascii="Times New Roman" w:hAnsi="Times New Roman" w:cs="Times New Roman"/>
          <w:b/>
          <w:bCs/>
          <w:i/>
          <w:iCs/>
          <w:kern w:val="0"/>
          <w:sz w:val="20"/>
          <w:szCs w:val="20"/>
          <w:lang w:val="en-GB" w:eastAsia="zh-CN"/>
        </w:rPr>
        <w:t>4Tx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lang w:val="en-US" w:eastAsia="zh-CN"/>
        </w:rPr>
        <w:t>, it is proposed: (minor modification based on option 2.)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260" w:leftChars="0" w:hanging="420" w:firstLineChars="0"/>
        <w:jc w:val="left"/>
        <w:textAlignment w:val="auto"/>
        <w:rPr>
          <w:rFonts w:hint="default" w:ascii="Times New Roman" w:hAnsi="Times New Roman" w:eastAsia="等线" w:cs="Times New Roman"/>
          <w:b/>
          <w:bCs/>
          <w:i/>
          <w:iCs/>
          <w:kern w:val="0"/>
          <w:sz w:val="20"/>
          <w:szCs w:val="20"/>
          <w:lang w:val="en-GB" w:eastAsia="zh-CN"/>
        </w:rPr>
      </w:pPr>
      <w:r>
        <w:rPr>
          <w:rFonts w:hint="default" w:ascii="Times New Roman" w:hAnsi="Times New Roman" w:eastAsia="等线" w:cs="Times New Roman"/>
          <w:b/>
          <w:bCs/>
          <w:i/>
          <w:iCs/>
          <w:kern w:val="0"/>
          <w:sz w:val="20"/>
          <w:szCs w:val="20"/>
          <w:lang w:val="en-GB" w:eastAsia="zh-CN"/>
        </w:rPr>
        <w:t>Vehicular UE has same antenna isolation as handheld UE (Previous agreement)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260" w:leftChars="0" w:hanging="420" w:firstLineChars="0"/>
        <w:jc w:val="left"/>
        <w:textAlignment w:val="auto"/>
        <w:rPr>
          <w:rFonts w:hint="default" w:ascii="Times New Roman" w:hAnsi="Times New Roman" w:eastAsia="等线" w:cs="Times New Roman"/>
          <w:b/>
          <w:bCs/>
          <w:i/>
          <w:iCs/>
          <w:kern w:val="0"/>
          <w:sz w:val="20"/>
          <w:szCs w:val="20"/>
          <w:lang w:val="en-GB" w:eastAsia="zh-CN"/>
        </w:rPr>
      </w:pPr>
      <w:r>
        <w:rPr>
          <w:rFonts w:hint="default" w:ascii="Times New Roman" w:hAnsi="Times New Roman" w:eastAsia="等线" w:cs="Times New Roman"/>
          <w:b/>
          <w:bCs/>
          <w:i/>
          <w:iCs/>
          <w:kern w:val="0"/>
          <w:sz w:val="20"/>
          <w:szCs w:val="20"/>
          <w:lang w:val="en-GB" w:eastAsia="zh-CN"/>
        </w:rPr>
        <w:t xml:space="preserve">Two set of </w:t>
      </w:r>
      <w:r>
        <w:rPr>
          <w:rFonts w:hint="eastAsia" w:eastAsia="等线" w:cs="Times New Roman"/>
          <w:b/>
          <w:bCs/>
          <w:i/>
          <w:iCs/>
          <w:kern w:val="0"/>
          <w:sz w:val="20"/>
          <w:szCs w:val="20"/>
          <w:u w:val="single"/>
          <w:lang w:val="en-US" w:eastAsia="zh-CN"/>
        </w:rPr>
        <w:t xml:space="preserve">MPR </w:t>
      </w:r>
      <w:r>
        <w:rPr>
          <w:rFonts w:hint="default" w:ascii="Times New Roman" w:hAnsi="Times New Roman" w:eastAsia="等线" w:cs="Times New Roman"/>
          <w:b/>
          <w:bCs/>
          <w:i/>
          <w:iCs/>
          <w:kern w:val="0"/>
          <w:sz w:val="20"/>
          <w:szCs w:val="20"/>
          <w:lang w:val="en-GB" w:eastAsia="zh-CN"/>
        </w:rPr>
        <w:t>requirements for CPE/FWA/vehicle/industrial devices;</w:t>
      </w:r>
    </w:p>
    <w:p>
      <w:pPr>
        <w:widowControl w:val="0"/>
        <w:numPr>
          <w:ilvl w:val="-1"/>
          <w:numId w:val="0"/>
        </w:numPr>
        <w:overflowPunct w:val="0"/>
        <w:autoSpaceDE w:val="0"/>
        <w:autoSpaceDN w:val="0"/>
        <w:adjustRightInd w:val="0"/>
        <w:spacing w:before="120" w:line="240" w:lineRule="auto"/>
        <w:ind w:left="0" w:firstLine="0"/>
        <w:textAlignment w:val="baseline"/>
        <w:rPr>
          <w:rFonts w:hint="eastAsia" w:cs="Times New Roman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For SAR issue, P-MPR scheme is always applicable. For the duty cycle schemes for TDD, due to duty cycle reporting is optional, so it would be fine to further discuss the </w:t>
      </w:r>
      <w:bookmarkStart w:id="31" w:name="OLE_LINK49"/>
      <w:r>
        <w:rPr>
          <w:rFonts w:ascii="Times New Roman" w:hAnsi="Times New Roman" w:cs="Times New Roman"/>
          <w:i w:val="0"/>
          <w:iCs w:val="0"/>
          <w:kern w:val="0"/>
          <w:sz w:val="20"/>
          <w:szCs w:val="20"/>
          <w:lang w:val="en-GB" w:eastAsia="zh-CN"/>
        </w:rPr>
        <w:t>duty</w:t>
      </w:r>
      <w:r>
        <w:rPr>
          <w:rFonts w:hint="eastAsia" w:cs="Times New Roman"/>
          <w:i w:val="0"/>
          <w:iCs w:val="0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i w:val="0"/>
          <w:iCs w:val="0"/>
          <w:kern w:val="0"/>
          <w:sz w:val="20"/>
          <w:szCs w:val="20"/>
          <w:lang w:val="en-GB" w:eastAsia="zh-CN"/>
        </w:rPr>
        <w:t>cycle scheme</w:t>
      </w:r>
      <w:bookmarkEnd w:id="31"/>
      <w:r>
        <w:rPr>
          <w:rFonts w:hint="eastAsia" w:cs="Times New Roman"/>
          <w:i w:val="0"/>
          <w:iCs w:val="0"/>
          <w:kern w:val="0"/>
          <w:sz w:val="20"/>
          <w:szCs w:val="20"/>
          <w:lang w:val="en-US" w:eastAsia="zh-CN"/>
        </w:rPr>
        <w:t xml:space="preserve"> includin</w:t>
      </w:r>
      <w:r>
        <w:rPr>
          <w:rFonts w:hint="eastAsia" w:ascii="Times New Roman" w:hAnsi="Times New Roman" w:cs="Times New Roman"/>
          <w:i w:val="0"/>
          <w:iCs w:val="0"/>
          <w:kern w:val="0"/>
          <w:sz w:val="20"/>
          <w:szCs w:val="20"/>
          <w:lang w:val="en-US" w:eastAsia="zh-CN"/>
        </w:rPr>
        <w:t>g the evaluation period, existing IEs and default UL duty cycle, etc.</w:t>
      </w:r>
      <w:r>
        <w:rPr>
          <w:rFonts w:hint="eastAsia" w:cs="Times New Roman"/>
          <w:i w:val="0"/>
          <w:iCs w:val="0"/>
          <w:kern w:val="0"/>
          <w:sz w:val="20"/>
          <w:szCs w:val="20"/>
          <w:lang w:val="en-US" w:eastAsia="zh-CN"/>
        </w:rPr>
        <w:t xml:space="preserve"> </w:t>
      </w:r>
    </w:p>
    <w:p>
      <w:pPr>
        <w:widowControl w:val="0"/>
        <w:numPr>
          <w:ilvl w:val="-1"/>
          <w:numId w:val="0"/>
        </w:numPr>
        <w:overflowPunct w:val="0"/>
        <w:autoSpaceDE w:val="0"/>
        <w:autoSpaceDN w:val="0"/>
        <w:adjustRightInd w:val="0"/>
        <w:spacing w:before="120" w:line="240" w:lineRule="auto"/>
        <w:ind w:left="0" w:firstLine="0"/>
        <w:textAlignment w:val="baseline"/>
        <w:rPr>
          <w:rFonts w:hint="eastAsia"/>
          <w:i w:val="0"/>
          <w:iCs w:val="0"/>
          <w:sz w:val="20"/>
          <w:szCs w:val="20"/>
          <w:lang w:val="en-US" w:eastAsia="zh-CN"/>
        </w:rPr>
      </w:pPr>
      <w:r>
        <w:rPr>
          <w:rFonts w:hint="eastAsia" w:cs="Times New Roman"/>
          <w:i w:val="0"/>
          <w:iCs w:val="0"/>
          <w:kern w:val="0"/>
          <w:sz w:val="20"/>
          <w:szCs w:val="20"/>
          <w:lang w:val="en-US" w:eastAsia="zh-CN"/>
        </w:rPr>
        <w:t xml:space="preserve">In terms of the WID, currently FDD band n1 and TDD bands n41/n77/n78 were included. Therefore,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the discussion should be </w:t>
      </w:r>
      <w:bookmarkStart w:id="32" w:name="OLE_LINK50"/>
      <w:r>
        <w:rPr>
          <w:rFonts w:hint="eastAsia"/>
          <w:i w:val="0"/>
          <w:iCs w:val="0"/>
          <w:sz w:val="20"/>
          <w:szCs w:val="20"/>
          <w:lang w:val="en-US" w:eastAsia="zh-CN"/>
        </w:rPr>
        <w:t>focus on TDD band, rather than FDD band</w:t>
      </w:r>
      <w:bookmarkEnd w:id="32"/>
      <w:r>
        <w:rPr>
          <w:rFonts w:hint="eastAsia"/>
          <w:i w:val="0"/>
          <w:iCs w:val="0"/>
          <w:sz w:val="20"/>
          <w:szCs w:val="20"/>
          <w:lang w:val="en-US" w:eastAsia="zh-CN"/>
        </w:rPr>
        <w:t>. For HPUE FDD band, there were no conclusion for duty cycle scheme.</w:t>
      </w:r>
    </w:p>
    <w:p>
      <w:pPr>
        <w:widowControl w:val="0"/>
        <w:numPr>
          <w:ilvl w:val="-1"/>
          <w:numId w:val="0"/>
        </w:numPr>
        <w:overflowPunct w:val="0"/>
        <w:autoSpaceDE w:val="0"/>
        <w:autoSpaceDN w:val="0"/>
        <w:adjustRightInd w:val="0"/>
        <w:spacing w:before="120" w:line="240" w:lineRule="auto"/>
        <w:ind w:left="0" w:firstLine="0"/>
        <w:textAlignment w:val="baseline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bookmarkStart w:id="33" w:name="OLE_LINK3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2: The discussion on </w:t>
      </w:r>
      <w:r>
        <w:rPr>
          <w:rFonts w:hint="eastAsia"/>
          <w:b/>
          <w:bCs/>
          <w:i/>
          <w:iCs/>
          <w:sz w:val="20"/>
          <w:szCs w:val="20"/>
          <w:lang w:val="en-GB" w:eastAsia="zh-CN"/>
        </w:rPr>
        <w:t>duty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 w:val="20"/>
          <w:szCs w:val="20"/>
          <w:lang w:val="en-GB" w:eastAsia="zh-CN"/>
        </w:rPr>
        <w:t>cycle scheme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for 4Tx should be focus on TDD band, rather than FDD band.</w:t>
      </w:r>
      <w:bookmarkStart w:id="34" w:name="OLE_LINK12"/>
      <w:bookmarkStart w:id="35" w:name="OLE_LINK24"/>
      <w:bookmarkStart w:id="36" w:name="OLE_LINK28"/>
    </w:p>
    <w:bookmarkEnd w:id="33"/>
    <w:p>
      <w:pPr>
        <w:widowControl w:val="0"/>
        <w:numPr>
          <w:ilvl w:val="-1"/>
          <w:numId w:val="0"/>
        </w:numPr>
        <w:overflowPunct w:val="0"/>
        <w:autoSpaceDE w:val="0"/>
        <w:autoSpaceDN w:val="0"/>
        <w:adjustRightInd w:val="0"/>
        <w:spacing w:before="120" w:line="240" w:lineRule="auto"/>
        <w:ind w:left="0" w:firstLine="0"/>
        <w:textAlignment w:val="baseline"/>
        <w:rPr>
          <w:rFonts w:hint="default" w:cs="Times New Roman"/>
          <w:b w:val="0"/>
          <w:bCs w:val="0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eastAsia="宋体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 </w:t>
      </w:r>
      <w:bookmarkEnd w:id="34"/>
    </w:p>
    <w:bookmarkEnd w:id="13"/>
    <w:bookmarkEnd w:id="14"/>
    <w:bookmarkEnd w:id="35"/>
    <w:bookmarkEnd w:id="36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give some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further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discussions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4Tx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CEP/FWA/vehicle/industrial devices</w:t>
      </w:r>
      <w:r>
        <w:rPr>
          <w:rFonts w:hint="eastAsia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.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The conclusions are:</w:t>
      </w:r>
    </w:p>
    <w:p>
      <w:pPr>
        <w:pStyle w:val="62"/>
        <w:widowControl w:val="0"/>
        <w:spacing w:before="120" w:line="240" w:lineRule="auto"/>
        <w:ind w:left="0" w:firstLine="0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 1: Only some RF requirements should be re-defined for 4Tx and 8Rx, respectively.</w:t>
      </w:r>
    </w:p>
    <w:p>
      <w:pPr>
        <w:pStyle w:val="62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default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 2: The question itself should be whether</w:t>
      </w:r>
      <w:r>
        <w:rPr>
          <w:rFonts w:hint="eastAsia" w:eastAsia="宋体" w:cs="Times New Roman"/>
          <w:b/>
          <w:bCs/>
          <w:i/>
          <w:iCs/>
          <w:color w:val="000000"/>
          <w:kern w:val="0"/>
          <w:sz w:val="20"/>
          <w:szCs w:val="20"/>
          <w:lang w:val="en-US" w:eastAsia="zh-CN" w:bidi="ar"/>
        </w:rPr>
        <w:t xml:space="preserve"> to define o</w:t>
      </w:r>
      <w:r>
        <w:rPr>
          <w:rFonts w:hint="default" w:eastAsia="宋体" w:cs="Times New Roman"/>
          <w:b/>
          <w:bCs/>
          <w:i/>
          <w:iCs/>
          <w:color w:val="000000"/>
          <w:kern w:val="0"/>
          <w:sz w:val="20"/>
          <w:szCs w:val="20"/>
          <w:lang w:val="en-GB" w:eastAsia="zh-CN" w:bidi="ar"/>
        </w:rPr>
        <w:t>ne</w:t>
      </w:r>
      <w:r>
        <w:rPr>
          <w:rFonts w:hint="eastAsia" w:eastAsia="宋体" w:cs="Times New Roman"/>
          <w:b/>
          <w:bCs/>
          <w:i/>
          <w:iCs/>
          <w:color w:val="000000"/>
          <w:kern w:val="0"/>
          <w:sz w:val="20"/>
          <w:szCs w:val="20"/>
          <w:lang w:val="en-US" w:eastAsia="zh-CN" w:bidi="ar"/>
        </w:rPr>
        <w:t xml:space="preserve"> or two</w:t>
      </w:r>
      <w:r>
        <w:rPr>
          <w:rFonts w:hint="default" w:eastAsia="宋体" w:cs="Times New Roman"/>
          <w:b/>
          <w:bCs/>
          <w:i/>
          <w:iCs/>
          <w:color w:val="000000"/>
          <w:kern w:val="0"/>
          <w:sz w:val="20"/>
          <w:szCs w:val="20"/>
          <w:lang w:val="en-GB" w:eastAsia="zh-CN" w:bidi="ar"/>
        </w:rPr>
        <w:t xml:space="preserve"> set of </w:t>
      </w:r>
      <w:r>
        <w:rPr>
          <w:rFonts w:hint="eastAsia" w:eastAsia="宋体" w:cs="Times New Roman"/>
          <w:b/>
          <w:bCs/>
          <w:i/>
          <w:iCs/>
          <w:color w:val="000000"/>
          <w:kern w:val="0"/>
          <w:sz w:val="20"/>
          <w:szCs w:val="20"/>
          <w:u w:val="none"/>
          <w:lang w:val="en-US" w:eastAsia="zh-CN" w:bidi="ar"/>
        </w:rPr>
        <w:t xml:space="preserve">MPR </w:t>
      </w:r>
      <w:r>
        <w:rPr>
          <w:rFonts w:hint="default" w:eastAsia="宋体" w:cs="Times New Roman"/>
          <w:b/>
          <w:bCs/>
          <w:i/>
          <w:iCs/>
          <w:color w:val="000000"/>
          <w:kern w:val="0"/>
          <w:sz w:val="20"/>
          <w:szCs w:val="20"/>
          <w:lang w:val="en-GB" w:eastAsia="zh-CN" w:bidi="ar"/>
        </w:rPr>
        <w:t>requirements</w:t>
      </w:r>
      <w:r>
        <w:rPr>
          <w:rFonts w:hint="eastAsia" w:cs="Times New Roman"/>
          <w:b/>
          <w:bCs/>
          <w:i/>
          <w:iCs/>
          <w:color w:val="000000"/>
          <w:kern w:val="0"/>
          <w:sz w:val="20"/>
          <w:szCs w:val="20"/>
          <w:lang w:val="en-US" w:eastAsia="zh-CN" w:bidi="ar"/>
        </w:rPr>
        <w:t xml:space="preserve"> for 4Tx and </w:t>
      </w:r>
      <w:r>
        <w:rPr>
          <w:rFonts w:hint="default" w:ascii="Times New Roman" w:hAnsi="Times New Roman" w:eastAsia="宋体" w:cs="Times New Roman"/>
          <w:b/>
          <w:bCs/>
          <w:i/>
          <w:iCs/>
          <w:kern w:val="2"/>
          <w:sz w:val="20"/>
          <w:szCs w:val="20"/>
          <w:u w:val="none"/>
          <w:lang w:val="en-US" w:eastAsia="zh-CN" w:bidi="ar-SA"/>
        </w:rPr>
        <w:t>Δ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u w:val="none"/>
          <w:lang w:val="en-US" w:eastAsia="zh-CN"/>
        </w:rPr>
        <w:t>R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u w:val="none"/>
          <w:vertAlign w:val="subscript"/>
          <w:lang w:val="en-US" w:eastAsia="zh-CN"/>
        </w:rPr>
        <w:t>IB,8R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u w:val="none"/>
          <w:vertAlign w:val="baseline"/>
          <w:lang w:val="en-US" w:eastAsia="zh-CN"/>
        </w:rPr>
        <w:t xml:space="preserve"> 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vertAlign w:val="baseline"/>
          <w:lang w:val="en-US" w:eastAsia="zh-CN"/>
        </w:rPr>
        <w:t>for 8Rx, respectively.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left="20"/>
        <w:textAlignment w:val="baseline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bookmarkStart w:id="37" w:name="OLE_LINK6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1: For </w:t>
      </w:r>
      <w:r>
        <w:rPr>
          <w:rFonts w:hint="default" w:ascii="Times New Roman" w:hAnsi="Times New Roman" w:cs="Times New Roman"/>
          <w:b/>
          <w:bCs/>
          <w:i/>
          <w:iCs/>
          <w:kern w:val="0"/>
          <w:sz w:val="20"/>
          <w:szCs w:val="20"/>
          <w:lang w:val="en-GB" w:eastAsia="zh-CN"/>
        </w:rPr>
        <w:t>4Tx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lang w:val="en-US" w:eastAsia="zh-CN"/>
        </w:rPr>
        <w:t>, it is proposed: (minor modification based on option 2.)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260" w:leftChars="0" w:hanging="420" w:firstLineChars="0"/>
        <w:jc w:val="left"/>
        <w:textAlignment w:val="auto"/>
        <w:rPr>
          <w:rFonts w:hint="default" w:ascii="Times New Roman" w:hAnsi="Times New Roman" w:eastAsia="等线" w:cs="Times New Roman"/>
          <w:b/>
          <w:bCs/>
          <w:i/>
          <w:iCs/>
          <w:kern w:val="0"/>
          <w:sz w:val="20"/>
          <w:szCs w:val="20"/>
          <w:lang w:val="en-GB" w:eastAsia="zh-CN"/>
        </w:rPr>
      </w:pPr>
      <w:r>
        <w:rPr>
          <w:rFonts w:hint="default" w:ascii="Times New Roman" w:hAnsi="Times New Roman" w:eastAsia="等线" w:cs="Times New Roman"/>
          <w:b/>
          <w:bCs/>
          <w:i/>
          <w:iCs/>
          <w:kern w:val="0"/>
          <w:sz w:val="20"/>
          <w:szCs w:val="20"/>
          <w:lang w:val="en-GB" w:eastAsia="zh-CN"/>
        </w:rPr>
        <w:t>Vehicular UE has same antenna isolation as handheld UE (Previous agreement)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260" w:leftChars="0" w:hanging="420" w:firstLineChars="0"/>
        <w:jc w:val="left"/>
        <w:textAlignment w:val="auto"/>
        <w:rPr>
          <w:rFonts w:hint="default" w:ascii="Times New Roman" w:hAnsi="Times New Roman" w:eastAsia="等线" w:cs="Times New Roman"/>
          <w:b/>
          <w:bCs/>
          <w:i/>
          <w:iCs/>
          <w:kern w:val="0"/>
          <w:sz w:val="20"/>
          <w:szCs w:val="20"/>
          <w:lang w:val="en-GB" w:eastAsia="zh-CN"/>
        </w:rPr>
      </w:pPr>
      <w:r>
        <w:rPr>
          <w:rFonts w:hint="default" w:ascii="Times New Roman" w:hAnsi="Times New Roman" w:eastAsia="等线" w:cs="Times New Roman"/>
          <w:b/>
          <w:bCs/>
          <w:i/>
          <w:iCs/>
          <w:kern w:val="0"/>
          <w:sz w:val="20"/>
          <w:szCs w:val="20"/>
          <w:lang w:val="en-GB" w:eastAsia="zh-CN"/>
        </w:rPr>
        <w:t xml:space="preserve">Two set of </w:t>
      </w:r>
      <w:r>
        <w:rPr>
          <w:rFonts w:hint="eastAsia" w:eastAsia="等线" w:cs="Times New Roman"/>
          <w:b/>
          <w:bCs/>
          <w:i/>
          <w:iCs/>
          <w:kern w:val="0"/>
          <w:sz w:val="20"/>
          <w:szCs w:val="20"/>
          <w:u w:val="single"/>
          <w:lang w:val="en-US" w:eastAsia="zh-CN"/>
        </w:rPr>
        <w:t xml:space="preserve">MPR </w:t>
      </w:r>
      <w:r>
        <w:rPr>
          <w:rFonts w:hint="default" w:ascii="Times New Roman" w:hAnsi="Times New Roman" w:eastAsia="等线" w:cs="Times New Roman"/>
          <w:b/>
          <w:bCs/>
          <w:i/>
          <w:iCs/>
          <w:kern w:val="0"/>
          <w:sz w:val="20"/>
          <w:szCs w:val="20"/>
          <w:lang w:val="en-GB" w:eastAsia="zh-CN"/>
        </w:rPr>
        <w:t>requirements for CPE/FWA/vehicle/industrial devices;</w:t>
      </w:r>
    </w:p>
    <w:bookmarkEnd w:id="37"/>
    <w:p>
      <w:pPr>
        <w:widowControl w:val="0"/>
        <w:numPr>
          <w:ilvl w:val="-1"/>
          <w:numId w:val="0"/>
        </w:numPr>
        <w:overflowPunct w:val="0"/>
        <w:autoSpaceDE w:val="0"/>
        <w:autoSpaceDN w:val="0"/>
        <w:adjustRightInd w:val="0"/>
        <w:spacing w:before="120" w:line="240" w:lineRule="auto"/>
        <w:ind w:left="0" w:firstLine="0"/>
        <w:textAlignment w:val="baseline"/>
        <w:rPr>
          <w:rFonts w:eastAsia="Yu Mincho"/>
          <w:b w:val="0"/>
          <w:bCs w:val="0"/>
          <w:i w:val="0"/>
          <w:iCs w:val="0"/>
          <w:color w:val="000000"/>
          <w:kern w:val="0"/>
          <w:sz w:val="20"/>
          <w:highlight w:val="none"/>
          <w:lang w:val="en-GB" w:eastAsia="en-US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2: The discussion on </w:t>
      </w:r>
      <w:r>
        <w:rPr>
          <w:rFonts w:hint="eastAsia"/>
          <w:b/>
          <w:bCs/>
          <w:i/>
          <w:iCs/>
          <w:sz w:val="20"/>
          <w:szCs w:val="20"/>
          <w:lang w:val="en-GB" w:eastAsia="zh-CN"/>
        </w:rPr>
        <w:t>duty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 w:val="20"/>
          <w:szCs w:val="20"/>
          <w:lang w:val="en-GB" w:eastAsia="zh-CN"/>
        </w:rPr>
        <w:t>cycle scheme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for 4Tx should be focus on TDD band, rather than FDD band.</w:t>
      </w:r>
      <w:r>
        <w:rPr>
          <w:rFonts w:hint="eastAsia" w:eastAsia="宋体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 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[</w:t>
      </w:r>
      <w:r>
        <w:rPr>
          <w:rFonts w:hint="eastAsia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] </w:t>
      </w:r>
      <w:r>
        <w:rPr>
          <w:color w:val="000000"/>
          <w:sz w:val="20"/>
          <w:szCs w:val="20"/>
          <w:lang w:val="en-US" w:eastAsia="zh-CN"/>
        </w:rPr>
        <w:t>R4-2217725</w:t>
      </w:r>
      <w:r>
        <w:rPr>
          <w:rFonts w:hint="eastAsia"/>
          <w:color w:val="000000"/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WF on FR1 4Tx UE RF requirements</w:t>
      </w:r>
      <w:r>
        <w:rPr>
          <w:rFonts w:hint="eastAsia"/>
          <w:sz w:val="20"/>
          <w:szCs w:val="20"/>
          <w:lang w:val="en-US" w:eastAsia="zh-CN"/>
        </w:rPr>
        <w:t>, vivo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E24E5FCA"/>
    <w:multiLevelType w:val="singleLevel"/>
    <w:tmpl w:val="E24E5FCA"/>
    <w:lvl w:ilvl="0" w:tentative="0">
      <w:start w:val="1"/>
      <w:numFmt w:val="bullet"/>
      <w:lvlText w:val="-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2B297B96"/>
    <w:multiLevelType w:val="multilevel"/>
    <w:tmpl w:val="2B297B96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–"/>
      <w:lvlJc w:val="left"/>
      <w:pPr>
        <w:ind w:left="4046" w:hanging="360"/>
      </w:pPr>
      <w:rPr>
        <w:rFonts w:hint="default" w:ascii="Arial" w:hAnsi="Arial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E6600E1"/>
    <w:multiLevelType w:val="multilevel"/>
    <w:tmpl w:val="3E6600E1"/>
    <w:lvl w:ilvl="0" w:tentative="0">
      <w:start w:val="1"/>
      <w:numFmt w:val="bullet"/>
      <w:lvlText w:val=""/>
      <w:lvlJc w:val="left"/>
      <w:pPr>
        <w:ind w:left="4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00" w:hanging="420"/>
      </w:pPr>
      <w:rPr>
        <w:rFonts w:hint="default" w:ascii="Wingdings" w:hAnsi="Wingdings"/>
      </w:rPr>
    </w:lvl>
  </w:abstractNum>
  <w:abstractNum w:abstractNumId="8">
    <w:nsid w:val="40BE6B17"/>
    <w:multiLevelType w:val="multilevel"/>
    <w:tmpl w:val="40BE6B17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4"/>
      <w:numFmt w:val="bullet"/>
      <w:lvlText w:val="-"/>
      <w:lvlJc w:val="left"/>
      <w:pPr>
        <w:ind w:left="2040" w:hanging="360"/>
      </w:pPr>
      <w:rPr>
        <w:rFonts w:hint="default" w:ascii="Times New Roman" w:hAnsi="Times New Roman" w:eastAsia="Malgun Gothic" w:cs="Times New Roman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8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46B8D"/>
    <w:rsid w:val="01D67ABF"/>
    <w:rsid w:val="01D866D8"/>
    <w:rsid w:val="01EE2663"/>
    <w:rsid w:val="01F90434"/>
    <w:rsid w:val="01FB366B"/>
    <w:rsid w:val="01FD3930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F6D4C"/>
    <w:rsid w:val="02933CBB"/>
    <w:rsid w:val="02951DBD"/>
    <w:rsid w:val="02983E12"/>
    <w:rsid w:val="029A69A7"/>
    <w:rsid w:val="029B04E7"/>
    <w:rsid w:val="02A10998"/>
    <w:rsid w:val="02AB0FBC"/>
    <w:rsid w:val="02AE6812"/>
    <w:rsid w:val="02D16C80"/>
    <w:rsid w:val="02DC3F9C"/>
    <w:rsid w:val="03073BDC"/>
    <w:rsid w:val="030B0647"/>
    <w:rsid w:val="030B2860"/>
    <w:rsid w:val="030C40C1"/>
    <w:rsid w:val="030D2F0B"/>
    <w:rsid w:val="033C68CE"/>
    <w:rsid w:val="033F734A"/>
    <w:rsid w:val="03445E8F"/>
    <w:rsid w:val="03496C64"/>
    <w:rsid w:val="035154D3"/>
    <w:rsid w:val="03527C38"/>
    <w:rsid w:val="0356746F"/>
    <w:rsid w:val="036E37C2"/>
    <w:rsid w:val="03746F8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B14B03"/>
    <w:rsid w:val="04DA1A87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55228E"/>
    <w:rsid w:val="057D1D66"/>
    <w:rsid w:val="059D265F"/>
    <w:rsid w:val="05B92EC1"/>
    <w:rsid w:val="05E078B3"/>
    <w:rsid w:val="05EE6827"/>
    <w:rsid w:val="0601277E"/>
    <w:rsid w:val="060C5AED"/>
    <w:rsid w:val="06103146"/>
    <w:rsid w:val="06172561"/>
    <w:rsid w:val="061E54DA"/>
    <w:rsid w:val="061E5E22"/>
    <w:rsid w:val="062B2FCF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B741D9"/>
    <w:rsid w:val="06C457B6"/>
    <w:rsid w:val="06CD4A70"/>
    <w:rsid w:val="06DF4C13"/>
    <w:rsid w:val="06E7678C"/>
    <w:rsid w:val="06F42A88"/>
    <w:rsid w:val="06F801C0"/>
    <w:rsid w:val="070E5E48"/>
    <w:rsid w:val="07105178"/>
    <w:rsid w:val="0712124C"/>
    <w:rsid w:val="071C13A8"/>
    <w:rsid w:val="073D143C"/>
    <w:rsid w:val="074855FD"/>
    <w:rsid w:val="07627CA0"/>
    <w:rsid w:val="076319C4"/>
    <w:rsid w:val="076925D2"/>
    <w:rsid w:val="077241E3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C55A1A"/>
    <w:rsid w:val="07D57946"/>
    <w:rsid w:val="07ED524D"/>
    <w:rsid w:val="080124E3"/>
    <w:rsid w:val="080C7FA0"/>
    <w:rsid w:val="08193C24"/>
    <w:rsid w:val="08341060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E916DF"/>
    <w:rsid w:val="08F473EA"/>
    <w:rsid w:val="08FC0AA5"/>
    <w:rsid w:val="092F7300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92510E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17CBD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B1BC1"/>
    <w:rsid w:val="0B3D701F"/>
    <w:rsid w:val="0B3E7DD7"/>
    <w:rsid w:val="0B491629"/>
    <w:rsid w:val="0B561995"/>
    <w:rsid w:val="0B5C2C2A"/>
    <w:rsid w:val="0B665E0A"/>
    <w:rsid w:val="0B847B39"/>
    <w:rsid w:val="0B987E20"/>
    <w:rsid w:val="0B9E71DF"/>
    <w:rsid w:val="0BAD5CC5"/>
    <w:rsid w:val="0BAD5EDC"/>
    <w:rsid w:val="0BAF59B9"/>
    <w:rsid w:val="0BB524B8"/>
    <w:rsid w:val="0BB756DF"/>
    <w:rsid w:val="0BC63DB2"/>
    <w:rsid w:val="0BCC4043"/>
    <w:rsid w:val="0BCC4B6A"/>
    <w:rsid w:val="0C1E494F"/>
    <w:rsid w:val="0C3427D0"/>
    <w:rsid w:val="0C43327D"/>
    <w:rsid w:val="0C4426AF"/>
    <w:rsid w:val="0C453647"/>
    <w:rsid w:val="0C4577EC"/>
    <w:rsid w:val="0C4F3B0E"/>
    <w:rsid w:val="0C4F7881"/>
    <w:rsid w:val="0C5C6396"/>
    <w:rsid w:val="0C63431B"/>
    <w:rsid w:val="0C650A20"/>
    <w:rsid w:val="0C690EFA"/>
    <w:rsid w:val="0C6E11B8"/>
    <w:rsid w:val="0C723CD1"/>
    <w:rsid w:val="0C8B63A3"/>
    <w:rsid w:val="0CB94808"/>
    <w:rsid w:val="0CC37BC2"/>
    <w:rsid w:val="0CD87ABE"/>
    <w:rsid w:val="0CE26C42"/>
    <w:rsid w:val="0CE632FF"/>
    <w:rsid w:val="0CE76B48"/>
    <w:rsid w:val="0CEB5DBE"/>
    <w:rsid w:val="0CFB523A"/>
    <w:rsid w:val="0D1B1E9C"/>
    <w:rsid w:val="0D4B44A1"/>
    <w:rsid w:val="0D6811B4"/>
    <w:rsid w:val="0D6E2620"/>
    <w:rsid w:val="0D704E21"/>
    <w:rsid w:val="0D7F48FE"/>
    <w:rsid w:val="0D883C88"/>
    <w:rsid w:val="0D936E72"/>
    <w:rsid w:val="0D966BF7"/>
    <w:rsid w:val="0DCC3AE8"/>
    <w:rsid w:val="0DD87842"/>
    <w:rsid w:val="0DF202E1"/>
    <w:rsid w:val="0DF53CE3"/>
    <w:rsid w:val="0E0961C5"/>
    <w:rsid w:val="0E147898"/>
    <w:rsid w:val="0E2F216B"/>
    <w:rsid w:val="0E3352C6"/>
    <w:rsid w:val="0E3A5EE2"/>
    <w:rsid w:val="0E542F3B"/>
    <w:rsid w:val="0E6271DF"/>
    <w:rsid w:val="0E81568A"/>
    <w:rsid w:val="0E942250"/>
    <w:rsid w:val="0E963344"/>
    <w:rsid w:val="0E9E6E00"/>
    <w:rsid w:val="0EA40C1C"/>
    <w:rsid w:val="0EAF381F"/>
    <w:rsid w:val="0EB72E4B"/>
    <w:rsid w:val="0EEC6F1D"/>
    <w:rsid w:val="0F103291"/>
    <w:rsid w:val="0F1D498B"/>
    <w:rsid w:val="0F337178"/>
    <w:rsid w:val="0F3B15FC"/>
    <w:rsid w:val="0F41022A"/>
    <w:rsid w:val="0F56743B"/>
    <w:rsid w:val="0F60682C"/>
    <w:rsid w:val="0F6763D9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1B1E8A"/>
    <w:rsid w:val="101C4A03"/>
    <w:rsid w:val="101D0C86"/>
    <w:rsid w:val="104A023B"/>
    <w:rsid w:val="10505F3B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124F2E"/>
    <w:rsid w:val="114028DC"/>
    <w:rsid w:val="116F1EB0"/>
    <w:rsid w:val="117B1D6A"/>
    <w:rsid w:val="117C2D9D"/>
    <w:rsid w:val="117F159E"/>
    <w:rsid w:val="11821DC9"/>
    <w:rsid w:val="11921373"/>
    <w:rsid w:val="119D7849"/>
    <w:rsid w:val="11A615EE"/>
    <w:rsid w:val="11A658F4"/>
    <w:rsid w:val="11B91A57"/>
    <w:rsid w:val="11BA3FAE"/>
    <w:rsid w:val="11C67B8F"/>
    <w:rsid w:val="11CE730E"/>
    <w:rsid w:val="11D815C4"/>
    <w:rsid w:val="11E57D4F"/>
    <w:rsid w:val="11F92DAB"/>
    <w:rsid w:val="11FC38D5"/>
    <w:rsid w:val="1210682D"/>
    <w:rsid w:val="123A05DB"/>
    <w:rsid w:val="124240B9"/>
    <w:rsid w:val="124D0988"/>
    <w:rsid w:val="124E44B4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7312B"/>
    <w:rsid w:val="12D22971"/>
    <w:rsid w:val="12D85654"/>
    <w:rsid w:val="12DF4A87"/>
    <w:rsid w:val="12EE5106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9D3156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AC0C32"/>
    <w:rsid w:val="14B602D5"/>
    <w:rsid w:val="14C45576"/>
    <w:rsid w:val="14C76D6C"/>
    <w:rsid w:val="14CE33C4"/>
    <w:rsid w:val="14DA3DA1"/>
    <w:rsid w:val="14E60B42"/>
    <w:rsid w:val="14EA1C4D"/>
    <w:rsid w:val="150222BF"/>
    <w:rsid w:val="150F7C33"/>
    <w:rsid w:val="1515004B"/>
    <w:rsid w:val="151B7C99"/>
    <w:rsid w:val="15207BBA"/>
    <w:rsid w:val="152F4E1B"/>
    <w:rsid w:val="154D342A"/>
    <w:rsid w:val="1559587F"/>
    <w:rsid w:val="1574662E"/>
    <w:rsid w:val="15751882"/>
    <w:rsid w:val="1575191B"/>
    <w:rsid w:val="157818C6"/>
    <w:rsid w:val="159F73BB"/>
    <w:rsid w:val="15B03F28"/>
    <w:rsid w:val="15E30A80"/>
    <w:rsid w:val="1608480E"/>
    <w:rsid w:val="161C1C58"/>
    <w:rsid w:val="162F7556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E2FE3"/>
    <w:rsid w:val="16B23908"/>
    <w:rsid w:val="16B4400E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8730F"/>
    <w:rsid w:val="17416499"/>
    <w:rsid w:val="17481B81"/>
    <w:rsid w:val="17481E8B"/>
    <w:rsid w:val="174A69B0"/>
    <w:rsid w:val="175007ED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A8582C"/>
    <w:rsid w:val="18B50543"/>
    <w:rsid w:val="18CA40C3"/>
    <w:rsid w:val="18CD7A02"/>
    <w:rsid w:val="19001FFC"/>
    <w:rsid w:val="190E2B4A"/>
    <w:rsid w:val="19256D7A"/>
    <w:rsid w:val="193275C2"/>
    <w:rsid w:val="194D2005"/>
    <w:rsid w:val="19655A52"/>
    <w:rsid w:val="19663168"/>
    <w:rsid w:val="197724BD"/>
    <w:rsid w:val="19786B0A"/>
    <w:rsid w:val="198A41A1"/>
    <w:rsid w:val="199A2059"/>
    <w:rsid w:val="19B46E10"/>
    <w:rsid w:val="19C456C1"/>
    <w:rsid w:val="19F061A1"/>
    <w:rsid w:val="1A054259"/>
    <w:rsid w:val="1A081816"/>
    <w:rsid w:val="1A0C5680"/>
    <w:rsid w:val="1A165171"/>
    <w:rsid w:val="1A3068A4"/>
    <w:rsid w:val="1A4858FF"/>
    <w:rsid w:val="1A4C698A"/>
    <w:rsid w:val="1A5D5219"/>
    <w:rsid w:val="1A5E4B5A"/>
    <w:rsid w:val="1A672B1C"/>
    <w:rsid w:val="1A8301C0"/>
    <w:rsid w:val="1A872248"/>
    <w:rsid w:val="1A9B2279"/>
    <w:rsid w:val="1A9E6232"/>
    <w:rsid w:val="1AA57BA7"/>
    <w:rsid w:val="1AA74D3D"/>
    <w:rsid w:val="1AB34DB4"/>
    <w:rsid w:val="1AB613FD"/>
    <w:rsid w:val="1ACF5EB8"/>
    <w:rsid w:val="1AD26086"/>
    <w:rsid w:val="1ADD5ACE"/>
    <w:rsid w:val="1AE013F8"/>
    <w:rsid w:val="1AE8570C"/>
    <w:rsid w:val="1AFB06A3"/>
    <w:rsid w:val="1B062896"/>
    <w:rsid w:val="1B0F19AE"/>
    <w:rsid w:val="1B2160BB"/>
    <w:rsid w:val="1B3637AD"/>
    <w:rsid w:val="1B3E0DB5"/>
    <w:rsid w:val="1B454C94"/>
    <w:rsid w:val="1B6C0DF0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A03243"/>
    <w:rsid w:val="1CAF5DB2"/>
    <w:rsid w:val="1CB40DF1"/>
    <w:rsid w:val="1CB86812"/>
    <w:rsid w:val="1CCC26CA"/>
    <w:rsid w:val="1CD2156B"/>
    <w:rsid w:val="1CD41743"/>
    <w:rsid w:val="1CD44D3D"/>
    <w:rsid w:val="1CE45EF5"/>
    <w:rsid w:val="1CE615C9"/>
    <w:rsid w:val="1D037029"/>
    <w:rsid w:val="1D3305FF"/>
    <w:rsid w:val="1D395282"/>
    <w:rsid w:val="1D4251BA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E25FDD"/>
    <w:rsid w:val="1EF5103F"/>
    <w:rsid w:val="1EFF621F"/>
    <w:rsid w:val="1F090F9B"/>
    <w:rsid w:val="1F0A0088"/>
    <w:rsid w:val="1F0E5D6B"/>
    <w:rsid w:val="1F3E662A"/>
    <w:rsid w:val="1F4F2219"/>
    <w:rsid w:val="1F614D01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1E6D7C"/>
    <w:rsid w:val="20446081"/>
    <w:rsid w:val="204852AD"/>
    <w:rsid w:val="204E6676"/>
    <w:rsid w:val="205A5AA0"/>
    <w:rsid w:val="20773A28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3E7119"/>
    <w:rsid w:val="21401C29"/>
    <w:rsid w:val="21530058"/>
    <w:rsid w:val="21810744"/>
    <w:rsid w:val="218D6EF5"/>
    <w:rsid w:val="2195668B"/>
    <w:rsid w:val="219F69EC"/>
    <w:rsid w:val="21A130EA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58381E"/>
    <w:rsid w:val="245872F9"/>
    <w:rsid w:val="245943D9"/>
    <w:rsid w:val="245E6B64"/>
    <w:rsid w:val="2463385E"/>
    <w:rsid w:val="24967323"/>
    <w:rsid w:val="249D5FC8"/>
    <w:rsid w:val="24A1538E"/>
    <w:rsid w:val="24B9450F"/>
    <w:rsid w:val="24C83F94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F6BC4"/>
    <w:rsid w:val="2597510C"/>
    <w:rsid w:val="25975923"/>
    <w:rsid w:val="259A3D0A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F31A0"/>
    <w:rsid w:val="27310CAC"/>
    <w:rsid w:val="27342901"/>
    <w:rsid w:val="273D2762"/>
    <w:rsid w:val="27470B72"/>
    <w:rsid w:val="27525E32"/>
    <w:rsid w:val="27604751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8027A71"/>
    <w:rsid w:val="281F4F67"/>
    <w:rsid w:val="283744B4"/>
    <w:rsid w:val="28485D62"/>
    <w:rsid w:val="285560D7"/>
    <w:rsid w:val="286E74F1"/>
    <w:rsid w:val="28760CA0"/>
    <w:rsid w:val="287B218C"/>
    <w:rsid w:val="288A05DD"/>
    <w:rsid w:val="28937D89"/>
    <w:rsid w:val="289B0550"/>
    <w:rsid w:val="28BD3F79"/>
    <w:rsid w:val="28C96C14"/>
    <w:rsid w:val="28E138E3"/>
    <w:rsid w:val="28E74216"/>
    <w:rsid w:val="28E87EE4"/>
    <w:rsid w:val="2903396A"/>
    <w:rsid w:val="294E766A"/>
    <w:rsid w:val="2952590A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562D4"/>
    <w:rsid w:val="2A4D593F"/>
    <w:rsid w:val="2A6E31F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637D4B"/>
    <w:rsid w:val="2B6B1684"/>
    <w:rsid w:val="2B7B70BF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54533B"/>
    <w:rsid w:val="2C591378"/>
    <w:rsid w:val="2C797A76"/>
    <w:rsid w:val="2C8F4862"/>
    <w:rsid w:val="2C9E5AC8"/>
    <w:rsid w:val="2CA2721B"/>
    <w:rsid w:val="2CAC6D87"/>
    <w:rsid w:val="2CB600FC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B40A9"/>
    <w:rsid w:val="2D8A3FA2"/>
    <w:rsid w:val="2D9767DC"/>
    <w:rsid w:val="2D980DDC"/>
    <w:rsid w:val="2D987372"/>
    <w:rsid w:val="2DC66A91"/>
    <w:rsid w:val="2DC92AA1"/>
    <w:rsid w:val="2DCE5F69"/>
    <w:rsid w:val="2DD63DB4"/>
    <w:rsid w:val="2DDD4F0A"/>
    <w:rsid w:val="2E34792A"/>
    <w:rsid w:val="2E437E73"/>
    <w:rsid w:val="2E5034DC"/>
    <w:rsid w:val="2E572AB9"/>
    <w:rsid w:val="2E7258DC"/>
    <w:rsid w:val="2E79458E"/>
    <w:rsid w:val="2E797A78"/>
    <w:rsid w:val="2E7A5F31"/>
    <w:rsid w:val="2E7C6A94"/>
    <w:rsid w:val="2E8321A5"/>
    <w:rsid w:val="2E8D14A8"/>
    <w:rsid w:val="2E9F6D95"/>
    <w:rsid w:val="2EAE350B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2D445E"/>
    <w:rsid w:val="2F4F6FBB"/>
    <w:rsid w:val="2F664E2B"/>
    <w:rsid w:val="2F6C7BE3"/>
    <w:rsid w:val="2F783485"/>
    <w:rsid w:val="2F7F5C0B"/>
    <w:rsid w:val="2FA6492D"/>
    <w:rsid w:val="2FC86676"/>
    <w:rsid w:val="2FD17A1B"/>
    <w:rsid w:val="2FD71CA4"/>
    <w:rsid w:val="2FDC4A8D"/>
    <w:rsid w:val="2FF93066"/>
    <w:rsid w:val="301742B2"/>
    <w:rsid w:val="301A1509"/>
    <w:rsid w:val="301A71CE"/>
    <w:rsid w:val="301D63DD"/>
    <w:rsid w:val="301E049B"/>
    <w:rsid w:val="302A4BE6"/>
    <w:rsid w:val="304478EC"/>
    <w:rsid w:val="30515C8E"/>
    <w:rsid w:val="30926F91"/>
    <w:rsid w:val="30962F3E"/>
    <w:rsid w:val="30AA2585"/>
    <w:rsid w:val="30C16A19"/>
    <w:rsid w:val="30CB5800"/>
    <w:rsid w:val="30D32236"/>
    <w:rsid w:val="30E43E12"/>
    <w:rsid w:val="30FA7530"/>
    <w:rsid w:val="30FF2795"/>
    <w:rsid w:val="310375CD"/>
    <w:rsid w:val="310E6387"/>
    <w:rsid w:val="311611B3"/>
    <w:rsid w:val="313C313D"/>
    <w:rsid w:val="313F6DC6"/>
    <w:rsid w:val="314E236F"/>
    <w:rsid w:val="315E0B07"/>
    <w:rsid w:val="31621F46"/>
    <w:rsid w:val="316E7CA0"/>
    <w:rsid w:val="317206BF"/>
    <w:rsid w:val="317932EA"/>
    <w:rsid w:val="317E5000"/>
    <w:rsid w:val="31875BB4"/>
    <w:rsid w:val="31B718F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DF351E"/>
    <w:rsid w:val="32EE5E41"/>
    <w:rsid w:val="32F40F87"/>
    <w:rsid w:val="32FD7C76"/>
    <w:rsid w:val="330C22FC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E75EA5"/>
    <w:rsid w:val="34E960F1"/>
    <w:rsid w:val="350B42D5"/>
    <w:rsid w:val="350F6258"/>
    <w:rsid w:val="351A603C"/>
    <w:rsid w:val="352821F6"/>
    <w:rsid w:val="3533698A"/>
    <w:rsid w:val="35387F19"/>
    <w:rsid w:val="3539550B"/>
    <w:rsid w:val="354D5E0E"/>
    <w:rsid w:val="356678B4"/>
    <w:rsid w:val="3573649F"/>
    <w:rsid w:val="357E4B0A"/>
    <w:rsid w:val="35866D7F"/>
    <w:rsid w:val="358F6BDF"/>
    <w:rsid w:val="35C06D50"/>
    <w:rsid w:val="35CD6F14"/>
    <w:rsid w:val="35D24294"/>
    <w:rsid w:val="35D71152"/>
    <w:rsid w:val="35FF6F3C"/>
    <w:rsid w:val="36075F27"/>
    <w:rsid w:val="36121506"/>
    <w:rsid w:val="361D7A43"/>
    <w:rsid w:val="361E658D"/>
    <w:rsid w:val="361F3323"/>
    <w:rsid w:val="36402EFA"/>
    <w:rsid w:val="36496A51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7B528D"/>
    <w:rsid w:val="378229A7"/>
    <w:rsid w:val="3784394E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E76E34"/>
    <w:rsid w:val="380632B2"/>
    <w:rsid w:val="380D02B1"/>
    <w:rsid w:val="382B1BDF"/>
    <w:rsid w:val="382E392C"/>
    <w:rsid w:val="38342E90"/>
    <w:rsid w:val="384B7332"/>
    <w:rsid w:val="385056AF"/>
    <w:rsid w:val="386A7142"/>
    <w:rsid w:val="38706DCB"/>
    <w:rsid w:val="388E5848"/>
    <w:rsid w:val="38A341A7"/>
    <w:rsid w:val="38BD31EE"/>
    <w:rsid w:val="38CB3BDF"/>
    <w:rsid w:val="38D33D29"/>
    <w:rsid w:val="38D41CCF"/>
    <w:rsid w:val="38E40A5B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A0224B9"/>
    <w:rsid w:val="3A14011B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D2B05"/>
    <w:rsid w:val="3AE417E3"/>
    <w:rsid w:val="3AE440AF"/>
    <w:rsid w:val="3AF7667E"/>
    <w:rsid w:val="3B113F51"/>
    <w:rsid w:val="3B192990"/>
    <w:rsid w:val="3B2D3716"/>
    <w:rsid w:val="3B307112"/>
    <w:rsid w:val="3B3E5BDD"/>
    <w:rsid w:val="3B5A2A22"/>
    <w:rsid w:val="3B707794"/>
    <w:rsid w:val="3B7804A3"/>
    <w:rsid w:val="3B8E2153"/>
    <w:rsid w:val="3B9B2072"/>
    <w:rsid w:val="3BA03B83"/>
    <w:rsid w:val="3BB16FA6"/>
    <w:rsid w:val="3BB20883"/>
    <w:rsid w:val="3BC34E75"/>
    <w:rsid w:val="3BCB270F"/>
    <w:rsid w:val="3BD96AA6"/>
    <w:rsid w:val="3BED002E"/>
    <w:rsid w:val="3C0429BF"/>
    <w:rsid w:val="3C1A201A"/>
    <w:rsid w:val="3C276807"/>
    <w:rsid w:val="3C371D4B"/>
    <w:rsid w:val="3C3B4B9D"/>
    <w:rsid w:val="3C413C82"/>
    <w:rsid w:val="3C471C36"/>
    <w:rsid w:val="3C4B0140"/>
    <w:rsid w:val="3C4D66ED"/>
    <w:rsid w:val="3C5A6B66"/>
    <w:rsid w:val="3C734413"/>
    <w:rsid w:val="3C982C18"/>
    <w:rsid w:val="3CA734F8"/>
    <w:rsid w:val="3CA95F71"/>
    <w:rsid w:val="3CB33ABD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316CDB"/>
    <w:rsid w:val="3D3D6BBD"/>
    <w:rsid w:val="3D450F8C"/>
    <w:rsid w:val="3D47711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E6A34"/>
    <w:rsid w:val="3DED0F96"/>
    <w:rsid w:val="3DF95812"/>
    <w:rsid w:val="3E1D4B24"/>
    <w:rsid w:val="3E3A04FA"/>
    <w:rsid w:val="3E3D6B96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43908"/>
    <w:rsid w:val="3F6B75A6"/>
    <w:rsid w:val="3F884CAB"/>
    <w:rsid w:val="3F8C0A49"/>
    <w:rsid w:val="3F8E7DCD"/>
    <w:rsid w:val="3F913853"/>
    <w:rsid w:val="3F9660C3"/>
    <w:rsid w:val="3F9724DD"/>
    <w:rsid w:val="3F9C79E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A25054"/>
    <w:rsid w:val="40A325E0"/>
    <w:rsid w:val="40B7228C"/>
    <w:rsid w:val="40BD0DA1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35B7F"/>
    <w:rsid w:val="419E60D3"/>
    <w:rsid w:val="41A339F5"/>
    <w:rsid w:val="41A36C7E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01DD7"/>
    <w:rsid w:val="42273D8C"/>
    <w:rsid w:val="4227435A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9B699F"/>
    <w:rsid w:val="439D3E18"/>
    <w:rsid w:val="43AF2D32"/>
    <w:rsid w:val="43B76E4F"/>
    <w:rsid w:val="43CF0206"/>
    <w:rsid w:val="43D85D6D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57F46"/>
    <w:rsid w:val="44994CF5"/>
    <w:rsid w:val="44B463D5"/>
    <w:rsid w:val="44DC46EB"/>
    <w:rsid w:val="44EA6491"/>
    <w:rsid w:val="44F03F8F"/>
    <w:rsid w:val="44F14ECF"/>
    <w:rsid w:val="45275172"/>
    <w:rsid w:val="45332511"/>
    <w:rsid w:val="45370B65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B0067"/>
    <w:rsid w:val="46B80AF8"/>
    <w:rsid w:val="46D37F0B"/>
    <w:rsid w:val="46D71533"/>
    <w:rsid w:val="46E53335"/>
    <w:rsid w:val="46EE15F6"/>
    <w:rsid w:val="47155D89"/>
    <w:rsid w:val="473069AF"/>
    <w:rsid w:val="474A0EAF"/>
    <w:rsid w:val="474E50BE"/>
    <w:rsid w:val="476700F2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808150F"/>
    <w:rsid w:val="480F51A8"/>
    <w:rsid w:val="48256B1B"/>
    <w:rsid w:val="48282713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1B63DF"/>
    <w:rsid w:val="491D63E9"/>
    <w:rsid w:val="4932285C"/>
    <w:rsid w:val="49331971"/>
    <w:rsid w:val="49384E02"/>
    <w:rsid w:val="493E2F78"/>
    <w:rsid w:val="495217DF"/>
    <w:rsid w:val="4958367A"/>
    <w:rsid w:val="498A16CD"/>
    <w:rsid w:val="49A33C27"/>
    <w:rsid w:val="49A750B5"/>
    <w:rsid w:val="49BE07DA"/>
    <w:rsid w:val="49C84AA0"/>
    <w:rsid w:val="49D7694D"/>
    <w:rsid w:val="49D87799"/>
    <w:rsid w:val="4A0244D3"/>
    <w:rsid w:val="4A255046"/>
    <w:rsid w:val="4A2E1525"/>
    <w:rsid w:val="4A5A756D"/>
    <w:rsid w:val="4A722B4C"/>
    <w:rsid w:val="4A785772"/>
    <w:rsid w:val="4A842E43"/>
    <w:rsid w:val="4A89105B"/>
    <w:rsid w:val="4AA341CC"/>
    <w:rsid w:val="4AC13295"/>
    <w:rsid w:val="4AC31003"/>
    <w:rsid w:val="4AC40F4C"/>
    <w:rsid w:val="4AD25F33"/>
    <w:rsid w:val="4ADD641F"/>
    <w:rsid w:val="4AE072CB"/>
    <w:rsid w:val="4AE93159"/>
    <w:rsid w:val="4AF02EA1"/>
    <w:rsid w:val="4B174032"/>
    <w:rsid w:val="4B250CF8"/>
    <w:rsid w:val="4B2873FD"/>
    <w:rsid w:val="4B3D4DE9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D0339A"/>
    <w:rsid w:val="4BF32495"/>
    <w:rsid w:val="4BFA3FA2"/>
    <w:rsid w:val="4C2910DF"/>
    <w:rsid w:val="4C2B4DDD"/>
    <w:rsid w:val="4C562920"/>
    <w:rsid w:val="4C5D1F92"/>
    <w:rsid w:val="4C603F16"/>
    <w:rsid w:val="4C6262E0"/>
    <w:rsid w:val="4C6703A3"/>
    <w:rsid w:val="4C6D7518"/>
    <w:rsid w:val="4C923A72"/>
    <w:rsid w:val="4CB96B0F"/>
    <w:rsid w:val="4CBD582C"/>
    <w:rsid w:val="4CE34E9F"/>
    <w:rsid w:val="4CF52D94"/>
    <w:rsid w:val="4D231A3E"/>
    <w:rsid w:val="4D462159"/>
    <w:rsid w:val="4D47409F"/>
    <w:rsid w:val="4D525BE3"/>
    <w:rsid w:val="4D566017"/>
    <w:rsid w:val="4D6022FC"/>
    <w:rsid w:val="4D7D3EFB"/>
    <w:rsid w:val="4D8B0123"/>
    <w:rsid w:val="4DAF14C5"/>
    <w:rsid w:val="4DB9067A"/>
    <w:rsid w:val="4DC605B6"/>
    <w:rsid w:val="4DD732D2"/>
    <w:rsid w:val="4DEC0985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10F05"/>
    <w:rsid w:val="4E742982"/>
    <w:rsid w:val="4E7F1E8F"/>
    <w:rsid w:val="4E862481"/>
    <w:rsid w:val="4E93511F"/>
    <w:rsid w:val="4E9C0636"/>
    <w:rsid w:val="4E9D29FB"/>
    <w:rsid w:val="4EA30DB6"/>
    <w:rsid w:val="4EA7341F"/>
    <w:rsid w:val="4EDB58B2"/>
    <w:rsid w:val="4EE925CE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844A99"/>
    <w:rsid w:val="4F94662C"/>
    <w:rsid w:val="4FB00163"/>
    <w:rsid w:val="4FB208E7"/>
    <w:rsid w:val="4FE30332"/>
    <w:rsid w:val="4FE70BB4"/>
    <w:rsid w:val="4FE73C01"/>
    <w:rsid w:val="4FE87C31"/>
    <w:rsid w:val="4FF14DCF"/>
    <w:rsid w:val="5008113B"/>
    <w:rsid w:val="500815B6"/>
    <w:rsid w:val="500B39BC"/>
    <w:rsid w:val="502173F8"/>
    <w:rsid w:val="5022123F"/>
    <w:rsid w:val="502B7315"/>
    <w:rsid w:val="503E570B"/>
    <w:rsid w:val="503F32CF"/>
    <w:rsid w:val="503F62FD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B6306"/>
    <w:rsid w:val="50CD2E4B"/>
    <w:rsid w:val="50F66F3D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F4764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E5046A"/>
    <w:rsid w:val="52272B85"/>
    <w:rsid w:val="52284E31"/>
    <w:rsid w:val="523E09B5"/>
    <w:rsid w:val="52687B2A"/>
    <w:rsid w:val="526E0E82"/>
    <w:rsid w:val="527901C6"/>
    <w:rsid w:val="528F4A24"/>
    <w:rsid w:val="52944BB6"/>
    <w:rsid w:val="52A24532"/>
    <w:rsid w:val="52B3363A"/>
    <w:rsid w:val="52C4763C"/>
    <w:rsid w:val="52C552C3"/>
    <w:rsid w:val="52DE691D"/>
    <w:rsid w:val="52E04D27"/>
    <w:rsid w:val="52ED0C96"/>
    <w:rsid w:val="53061721"/>
    <w:rsid w:val="530C0E6B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7CBF"/>
    <w:rsid w:val="53FE7128"/>
    <w:rsid w:val="54201800"/>
    <w:rsid w:val="54247F22"/>
    <w:rsid w:val="542C29CD"/>
    <w:rsid w:val="542F1551"/>
    <w:rsid w:val="54381756"/>
    <w:rsid w:val="545750B7"/>
    <w:rsid w:val="545A1EBF"/>
    <w:rsid w:val="54602EAD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D5F48"/>
    <w:rsid w:val="56106284"/>
    <w:rsid w:val="5632642A"/>
    <w:rsid w:val="56375B61"/>
    <w:rsid w:val="564944F4"/>
    <w:rsid w:val="564E5820"/>
    <w:rsid w:val="56630C00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D25618"/>
    <w:rsid w:val="56D7644B"/>
    <w:rsid w:val="56E81FA0"/>
    <w:rsid w:val="56E84A97"/>
    <w:rsid w:val="56FB2A68"/>
    <w:rsid w:val="57011F3E"/>
    <w:rsid w:val="5705646B"/>
    <w:rsid w:val="57060649"/>
    <w:rsid w:val="572657E3"/>
    <w:rsid w:val="5732705F"/>
    <w:rsid w:val="57351D6F"/>
    <w:rsid w:val="576476C1"/>
    <w:rsid w:val="57770501"/>
    <w:rsid w:val="577B3337"/>
    <w:rsid w:val="577D4F28"/>
    <w:rsid w:val="57A33734"/>
    <w:rsid w:val="57AB6ADD"/>
    <w:rsid w:val="57B7178E"/>
    <w:rsid w:val="57B76EED"/>
    <w:rsid w:val="57BD72A7"/>
    <w:rsid w:val="57BE5838"/>
    <w:rsid w:val="57D82354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F70BAF"/>
    <w:rsid w:val="5A297D0D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75D85"/>
    <w:rsid w:val="5ABC50F4"/>
    <w:rsid w:val="5ACC4940"/>
    <w:rsid w:val="5ACD3CD2"/>
    <w:rsid w:val="5AD86A6D"/>
    <w:rsid w:val="5AEC14F6"/>
    <w:rsid w:val="5AF124A4"/>
    <w:rsid w:val="5B141085"/>
    <w:rsid w:val="5B28192B"/>
    <w:rsid w:val="5B342BAD"/>
    <w:rsid w:val="5B4007EF"/>
    <w:rsid w:val="5B4D1F7C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EB0120"/>
    <w:rsid w:val="5BEC175C"/>
    <w:rsid w:val="5C097C4E"/>
    <w:rsid w:val="5C1A3A93"/>
    <w:rsid w:val="5C235386"/>
    <w:rsid w:val="5C3B6CFC"/>
    <w:rsid w:val="5C4C2CF4"/>
    <w:rsid w:val="5C6B1600"/>
    <w:rsid w:val="5C7D70D1"/>
    <w:rsid w:val="5C8542A8"/>
    <w:rsid w:val="5CA6294E"/>
    <w:rsid w:val="5CDB3358"/>
    <w:rsid w:val="5CED4E0C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E1B86"/>
    <w:rsid w:val="5D725A84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1D4A6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3370DF"/>
    <w:rsid w:val="5F683B6E"/>
    <w:rsid w:val="5F875C0C"/>
    <w:rsid w:val="5F8F0B9E"/>
    <w:rsid w:val="5F8F267A"/>
    <w:rsid w:val="5FB7185B"/>
    <w:rsid w:val="5FB94C48"/>
    <w:rsid w:val="5FDE327E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6711B4"/>
    <w:rsid w:val="60673C40"/>
    <w:rsid w:val="606A52D4"/>
    <w:rsid w:val="607C3753"/>
    <w:rsid w:val="608D1D4E"/>
    <w:rsid w:val="60911FEF"/>
    <w:rsid w:val="6092569C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1647A0"/>
    <w:rsid w:val="61421EFD"/>
    <w:rsid w:val="615C5041"/>
    <w:rsid w:val="617A6EE7"/>
    <w:rsid w:val="6182260C"/>
    <w:rsid w:val="61AD68BC"/>
    <w:rsid w:val="61B173D2"/>
    <w:rsid w:val="61D43A2B"/>
    <w:rsid w:val="61E34474"/>
    <w:rsid w:val="61FF316E"/>
    <w:rsid w:val="621542CB"/>
    <w:rsid w:val="624263A2"/>
    <w:rsid w:val="625272C3"/>
    <w:rsid w:val="62715337"/>
    <w:rsid w:val="6280204D"/>
    <w:rsid w:val="6290769B"/>
    <w:rsid w:val="62943D08"/>
    <w:rsid w:val="62A05735"/>
    <w:rsid w:val="62A411F8"/>
    <w:rsid w:val="62A81A26"/>
    <w:rsid w:val="62BA7A46"/>
    <w:rsid w:val="62C376AC"/>
    <w:rsid w:val="62CE13CB"/>
    <w:rsid w:val="62D2197B"/>
    <w:rsid w:val="62DB028F"/>
    <w:rsid w:val="62F6011A"/>
    <w:rsid w:val="62FD2BA9"/>
    <w:rsid w:val="6327422B"/>
    <w:rsid w:val="6328597C"/>
    <w:rsid w:val="633B249F"/>
    <w:rsid w:val="63552D76"/>
    <w:rsid w:val="6359778B"/>
    <w:rsid w:val="635B63E3"/>
    <w:rsid w:val="63771D13"/>
    <w:rsid w:val="638C3395"/>
    <w:rsid w:val="63B82D87"/>
    <w:rsid w:val="63BA3154"/>
    <w:rsid w:val="63CA2E8B"/>
    <w:rsid w:val="63D4153E"/>
    <w:rsid w:val="63DC7755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460728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A01F16"/>
    <w:rsid w:val="67A2026E"/>
    <w:rsid w:val="67B163D1"/>
    <w:rsid w:val="67F45538"/>
    <w:rsid w:val="67F67092"/>
    <w:rsid w:val="68005932"/>
    <w:rsid w:val="680239EB"/>
    <w:rsid w:val="680722DA"/>
    <w:rsid w:val="682211D1"/>
    <w:rsid w:val="685C6395"/>
    <w:rsid w:val="686318DD"/>
    <w:rsid w:val="68635145"/>
    <w:rsid w:val="687F607E"/>
    <w:rsid w:val="6887281F"/>
    <w:rsid w:val="689565AD"/>
    <w:rsid w:val="689A41FB"/>
    <w:rsid w:val="689E57F0"/>
    <w:rsid w:val="68A34C5C"/>
    <w:rsid w:val="68E24981"/>
    <w:rsid w:val="69123F86"/>
    <w:rsid w:val="691C1D81"/>
    <w:rsid w:val="691C3525"/>
    <w:rsid w:val="69216128"/>
    <w:rsid w:val="69280874"/>
    <w:rsid w:val="692E74C3"/>
    <w:rsid w:val="695D6B21"/>
    <w:rsid w:val="69611EE7"/>
    <w:rsid w:val="696C708E"/>
    <w:rsid w:val="696F4D5D"/>
    <w:rsid w:val="69850877"/>
    <w:rsid w:val="698C13C5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5B28ED"/>
    <w:rsid w:val="6A677080"/>
    <w:rsid w:val="6A711183"/>
    <w:rsid w:val="6A7B4B9C"/>
    <w:rsid w:val="6AAF014C"/>
    <w:rsid w:val="6AC07690"/>
    <w:rsid w:val="6ACB082B"/>
    <w:rsid w:val="6AD3247E"/>
    <w:rsid w:val="6AE4699C"/>
    <w:rsid w:val="6AF317C6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6D1317"/>
    <w:rsid w:val="6B730045"/>
    <w:rsid w:val="6B736A2E"/>
    <w:rsid w:val="6B874340"/>
    <w:rsid w:val="6B884219"/>
    <w:rsid w:val="6B90781F"/>
    <w:rsid w:val="6BA6663C"/>
    <w:rsid w:val="6BA9194F"/>
    <w:rsid w:val="6BE727F5"/>
    <w:rsid w:val="6C001608"/>
    <w:rsid w:val="6C0858B3"/>
    <w:rsid w:val="6C240DF3"/>
    <w:rsid w:val="6C45610F"/>
    <w:rsid w:val="6C59472D"/>
    <w:rsid w:val="6C5A4564"/>
    <w:rsid w:val="6C603744"/>
    <w:rsid w:val="6C637CCF"/>
    <w:rsid w:val="6C7802EB"/>
    <w:rsid w:val="6C89456C"/>
    <w:rsid w:val="6C9143CB"/>
    <w:rsid w:val="6CA20D5B"/>
    <w:rsid w:val="6CB71894"/>
    <w:rsid w:val="6CC13ACE"/>
    <w:rsid w:val="6CD63FB3"/>
    <w:rsid w:val="6CD91323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BE7F27"/>
    <w:rsid w:val="6DF43BD4"/>
    <w:rsid w:val="6E0E1FAB"/>
    <w:rsid w:val="6E2143FB"/>
    <w:rsid w:val="6E317378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920B5B"/>
    <w:rsid w:val="6E990B16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FC2D1E"/>
    <w:rsid w:val="71015D6B"/>
    <w:rsid w:val="71115386"/>
    <w:rsid w:val="71151975"/>
    <w:rsid w:val="712A5215"/>
    <w:rsid w:val="71336A65"/>
    <w:rsid w:val="714E2D72"/>
    <w:rsid w:val="71545B37"/>
    <w:rsid w:val="71570E43"/>
    <w:rsid w:val="71573E01"/>
    <w:rsid w:val="71702748"/>
    <w:rsid w:val="71867894"/>
    <w:rsid w:val="719F7A78"/>
    <w:rsid w:val="71B623F6"/>
    <w:rsid w:val="71C7540C"/>
    <w:rsid w:val="71F64A63"/>
    <w:rsid w:val="71F870B8"/>
    <w:rsid w:val="72021233"/>
    <w:rsid w:val="720B2A1D"/>
    <w:rsid w:val="72502F9F"/>
    <w:rsid w:val="725817D3"/>
    <w:rsid w:val="726E6AD4"/>
    <w:rsid w:val="727C422C"/>
    <w:rsid w:val="728E71EE"/>
    <w:rsid w:val="7292045A"/>
    <w:rsid w:val="72974DBE"/>
    <w:rsid w:val="72985E1E"/>
    <w:rsid w:val="72A20C20"/>
    <w:rsid w:val="72AC5E95"/>
    <w:rsid w:val="72C13ED7"/>
    <w:rsid w:val="72CF1AC7"/>
    <w:rsid w:val="72DC0F93"/>
    <w:rsid w:val="72E42AFA"/>
    <w:rsid w:val="72E85578"/>
    <w:rsid w:val="72EB4466"/>
    <w:rsid w:val="72FD426E"/>
    <w:rsid w:val="73043CFC"/>
    <w:rsid w:val="732B736C"/>
    <w:rsid w:val="732C334F"/>
    <w:rsid w:val="734F0C79"/>
    <w:rsid w:val="734F4185"/>
    <w:rsid w:val="73520620"/>
    <w:rsid w:val="7363274A"/>
    <w:rsid w:val="73691A4A"/>
    <w:rsid w:val="7371152B"/>
    <w:rsid w:val="73777B4D"/>
    <w:rsid w:val="738A6895"/>
    <w:rsid w:val="73917325"/>
    <w:rsid w:val="7395427D"/>
    <w:rsid w:val="73B1087F"/>
    <w:rsid w:val="73BC7089"/>
    <w:rsid w:val="73BE7067"/>
    <w:rsid w:val="73E406FD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993216"/>
    <w:rsid w:val="74B44784"/>
    <w:rsid w:val="74B808BF"/>
    <w:rsid w:val="74C03187"/>
    <w:rsid w:val="74E4756E"/>
    <w:rsid w:val="74ED19FF"/>
    <w:rsid w:val="75084E8F"/>
    <w:rsid w:val="7509261E"/>
    <w:rsid w:val="75202656"/>
    <w:rsid w:val="752231CE"/>
    <w:rsid w:val="75752B04"/>
    <w:rsid w:val="758910BB"/>
    <w:rsid w:val="75955DA9"/>
    <w:rsid w:val="75977910"/>
    <w:rsid w:val="759F2A35"/>
    <w:rsid w:val="75B15C41"/>
    <w:rsid w:val="75CC5191"/>
    <w:rsid w:val="75D12923"/>
    <w:rsid w:val="75EA364B"/>
    <w:rsid w:val="75F20996"/>
    <w:rsid w:val="75F96973"/>
    <w:rsid w:val="76123E1D"/>
    <w:rsid w:val="761270F3"/>
    <w:rsid w:val="762545DB"/>
    <w:rsid w:val="762A17C0"/>
    <w:rsid w:val="762E6798"/>
    <w:rsid w:val="76425118"/>
    <w:rsid w:val="764838B9"/>
    <w:rsid w:val="764B15DA"/>
    <w:rsid w:val="764C09B4"/>
    <w:rsid w:val="764F5A52"/>
    <w:rsid w:val="76665926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12918"/>
    <w:rsid w:val="76CF29D3"/>
    <w:rsid w:val="76EC51FD"/>
    <w:rsid w:val="76F410B8"/>
    <w:rsid w:val="76F70779"/>
    <w:rsid w:val="771B67DF"/>
    <w:rsid w:val="771E64D7"/>
    <w:rsid w:val="77272CAB"/>
    <w:rsid w:val="77451578"/>
    <w:rsid w:val="77576666"/>
    <w:rsid w:val="77636E18"/>
    <w:rsid w:val="77692EA3"/>
    <w:rsid w:val="77695538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7F71324"/>
    <w:rsid w:val="780326B9"/>
    <w:rsid w:val="780332E5"/>
    <w:rsid w:val="7833711D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2E73F2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715DF"/>
    <w:rsid w:val="79EC0256"/>
    <w:rsid w:val="79F60153"/>
    <w:rsid w:val="79FB6E2C"/>
    <w:rsid w:val="7A36322F"/>
    <w:rsid w:val="7A4C2D60"/>
    <w:rsid w:val="7A5E0869"/>
    <w:rsid w:val="7A6E4BF5"/>
    <w:rsid w:val="7A851D5D"/>
    <w:rsid w:val="7A8A2267"/>
    <w:rsid w:val="7AB53126"/>
    <w:rsid w:val="7AB76FE8"/>
    <w:rsid w:val="7AD268E2"/>
    <w:rsid w:val="7ADC0B33"/>
    <w:rsid w:val="7AE14C19"/>
    <w:rsid w:val="7AEA174E"/>
    <w:rsid w:val="7B274176"/>
    <w:rsid w:val="7B306163"/>
    <w:rsid w:val="7B3E17AA"/>
    <w:rsid w:val="7B401C79"/>
    <w:rsid w:val="7B440ED6"/>
    <w:rsid w:val="7B4678D7"/>
    <w:rsid w:val="7B4B2A93"/>
    <w:rsid w:val="7B527515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4C0053"/>
    <w:rsid w:val="7C576C70"/>
    <w:rsid w:val="7C6E4349"/>
    <w:rsid w:val="7C77043F"/>
    <w:rsid w:val="7C8A7CDC"/>
    <w:rsid w:val="7C9E5A24"/>
    <w:rsid w:val="7CB4006B"/>
    <w:rsid w:val="7CB93ABB"/>
    <w:rsid w:val="7CDE3831"/>
    <w:rsid w:val="7CE656F0"/>
    <w:rsid w:val="7CED34FF"/>
    <w:rsid w:val="7CEE5458"/>
    <w:rsid w:val="7CF26588"/>
    <w:rsid w:val="7CF565D7"/>
    <w:rsid w:val="7CFA3A46"/>
    <w:rsid w:val="7D0F5720"/>
    <w:rsid w:val="7D24652E"/>
    <w:rsid w:val="7D2E198F"/>
    <w:rsid w:val="7D3B3737"/>
    <w:rsid w:val="7D3D73AF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E090313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2022-11-07T12:38:12Z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